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FDPS LAB  |  미래드론정책안전연구소</w:t>
      </w:r>
    </w:p>
    <w:p>
      <w:pPr>
        <w:pStyle w:val="Title"/>
      </w:pPr>
      <w:r>
        <w:t>전국 분산형 드론 관제센터 통합운영설계서</w:t>
      </w:r>
    </w:p>
    <w:p>
      <w:r>
        <w:t>연구 및 시범사업 검토용 초안  |  2026년 9월 26일  |  작성 주체: FDPS LAB</w:t>
      </w:r>
    </w:p>
    <w:p>
      <w:r>
        <w:t>이 문서는 전국 단위 드론 임무를 적은 비용으로 안전하게 조정하기 위한 운영모델을 제안한다. 초기에는 기존 사무공간의 소형 상황실과 현장 이동팀을 활용하고, 임무 접수·비행 적합성 확인·조종·이상 대응·정비·자료 인계를 하나의 사건기록으로 묶는다. 실제 비행 승인과 현장 지휘는 해당 권한을 가진 기관과 조종자에게 남긴다.</w:t>
      </w:r>
    </w:p>
    <w:p>
      <w:pPr>
        <w:pStyle w:val="Heading1"/>
      </w:pPr>
      <w:r>
        <w:t>1 운영 범위와 핵심 결정</w:t>
      </w:r>
    </w:p>
    <w:tbl>
      <w:tblPr>
        <w:tblW w:type="auto" w:w="0"/>
        <w:jc w:val="center"/>
        <w:tblLayout w:type="fixed"/>
        <w:tblLook w:firstColumn="1" w:firstRow="1" w:lastColumn="0" w:lastRow="0" w:noHBand="0" w:noVBand="1" w:val="04A0"/>
      </w:tblPr>
      <w:tblGrid>
        <w:gridCol w:w="1944"/>
        <w:gridCol w:w="7920"/>
      </w:tblGrid>
      <w:tr>
        <w:trPr>
          <w:tblHeader w:val="true"/>
          <w:tblHeader w:val="true"/>
        </w:trPr>
        <w:tc>
          <w:tcPr>
            <w:tcW w:type="dxa" w:w="4997"/>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항목</w:t>
            </w:r>
          </w:p>
        </w:tc>
        <w:tc>
          <w:tcPr>
            <w:tcW w:type="dxa" w:w="4997"/>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초기 설계 결정</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운영 대상</w:t>
            </w:r>
          </w:p>
        </w:tc>
        <w:tc>
          <w:tcPr>
            <w:tcW w:type="dxa" w:w="792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의료물류, 실종 수색, 화재 감시, 환경 조사, 홍수 관측, 교통 현장, 시설 점검 등 기관 요청 임무</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센터 기능</w:t>
            </w:r>
          </w:p>
        </w:tc>
        <w:tc>
          <w:tcPr>
            <w:tcW w:type="dxa" w:w="792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요청 접수, 임무 우선순위, 공식자료 확인, 인력·장비 배정, 상황 공유, 기록·인계</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 기능</w:t>
            </w:r>
          </w:p>
        </w:tc>
        <w:tc>
          <w:tcPr>
            <w:tcW w:type="dxa" w:w="792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원격조종·현장 관측·이착륙 통제·실제 기체 점검</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운영 경계</w:t>
            </w:r>
          </w:p>
        </w:tc>
        <w:tc>
          <w:tcPr>
            <w:tcW w:type="dxa" w:w="792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센터 화면은 법적 비행승인이나 항공교통관제 권한을 생성하지 않음</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초기 범위</w:t>
            </w:r>
          </w:p>
        </w:tc>
        <w:tc>
          <w:tcPr>
            <w:tcW w:type="dxa" w:w="792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경희대 주변 가상훈련 → 기관 협의에 따른 서울 시범 → 표준 절차 검증 후 권역 확대</w:t>
            </w:r>
          </w:p>
        </w:tc>
      </w:tr>
    </w:tbl>
    <w:p>
      <w:pPr>
        <w:spacing w:after="20"/>
      </w:pPr>
    </w:p>
    <w:p>
      <w:r>
        <w:t>설계 원칙: 모든 사건은 “요청자, 책임자, 공식정보의 출처와 시각, 조종자, 중단 기준, 결과 인계자” 여섯 요소가 확인되어야 다음 단계로 이동한다. 긴급하다는 이유만으로 승인이나 안전 점검을 생략하지 않는다.</w:t>
      </w:r>
    </w:p>
    <w:p>
      <w:pPr>
        <w:pStyle w:val="Heading1"/>
      </w:pPr>
      <w:r>
        <w:t>2 조직과 지휘권</w:t>
      </w:r>
    </w:p>
    <w:p>
      <w:r>
        <w:t>전국 헤드쿼터는 표준 절차, 훈련, 기관 협의, 데이터 형식과 사후 품질관리를 맡는다. 광역센터는 관할 임무의 우선순위와 자원 배정을 조정한다. 시군구 현장팀은 실제 비행과 현장 연락을 수행한다. 스테이션은 기체·배터리·충전·통신·정비 상태를 관리한다. 이는 구축 제안이며 현재 설치된 국가 조직을 뜻하지 않는다.</w:t>
      </w:r>
    </w:p>
    <w:tbl>
      <w:tblPr>
        <w:tblW w:type="auto" w:w="0"/>
        <w:jc w:val="center"/>
        <w:tblLayout w:type="fixed"/>
        <w:tblLook w:firstColumn="1" w:firstRow="1" w:lastColumn="0" w:lastRow="0" w:noHBand="0" w:noVBand="1" w:val="04A0"/>
      </w:tblPr>
      <w:tblGrid>
        <w:gridCol w:w="1944"/>
        <w:gridCol w:w="3888"/>
        <w:gridCol w:w="4032"/>
      </w:tblGrid>
      <w:tr>
        <w:trPr>
          <w:tblHeader w:val="true"/>
          <w:tblHeader w:val="true"/>
          <w:tblHeader w:val="true"/>
        </w:trPr>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역할</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책임과 판단</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넘겨야 할 정보</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당직책임자</w:t>
            </w:r>
          </w:p>
        </w:tc>
        <w:tc>
          <w:tcPr>
            <w:tcW w:type="dxa" w:w="388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요청 수용·보류, 자원 배정, 기관 연락 및 교대 인계</w:t>
            </w:r>
          </w:p>
        </w:tc>
        <w:tc>
          <w:tcPr>
            <w:tcW w:type="dxa" w:w="403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사건 상태, 미해결 위험, 결정 사유</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원격조종자</w:t>
            </w:r>
          </w:p>
        </w:tc>
        <w:tc>
          <w:tcPr>
            <w:tcW w:type="dxa" w:w="388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기체의 비행 전 점검, 운항·중단 판단, 비상절차 수행</w:t>
            </w:r>
          </w:p>
        </w:tc>
        <w:tc>
          <w:tcPr>
            <w:tcW w:type="dxa" w:w="403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기체 상태, 경로 이탈, 종료 결과</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현장기관 연락담당</w:t>
            </w:r>
          </w:p>
        </w:tc>
        <w:tc>
          <w:tcPr>
            <w:tcW w:type="dxa" w:w="388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소방·경찰·병원·지자체 등 요청기관의 목표와 변경사항 확인</w:t>
            </w:r>
          </w:p>
        </w:tc>
        <w:tc>
          <w:tcPr>
            <w:tcW w:type="dxa" w:w="403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 통제, 우선순위, 수령 담당</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관측·영상·GIS 담당</w:t>
            </w:r>
          </w:p>
        </w:tc>
        <w:tc>
          <w:tcPr>
            <w:tcW w:type="dxa" w:w="388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영상 품질, 좌표의 확실도, 관측과 해석의 구분</w:t>
            </w:r>
          </w:p>
        </w:tc>
        <w:tc>
          <w:tcPr>
            <w:tcW w:type="dxa" w:w="403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원자료, 시각, 미관측 구역</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통신 엔지니어</w:t>
            </w:r>
          </w:p>
        </w:tc>
        <w:tc>
          <w:tcPr>
            <w:tcW w:type="dxa" w:w="388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주·예비 링크와 장애 원인 확인</w:t>
            </w:r>
          </w:p>
        </w:tc>
        <w:tc>
          <w:tcPr>
            <w:tcW w:type="dxa" w:w="403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링크 저하, 전환 이력, 복구 결과</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A/S 정비기사</w:t>
            </w:r>
          </w:p>
        </w:tc>
        <w:tc>
          <w:tcPr>
            <w:tcW w:type="dxa" w:w="388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기체·도킹·충전 결함 격리 및 정비 이력</w:t>
            </w:r>
          </w:p>
        </w:tc>
        <w:tc>
          <w:tcPr>
            <w:tcW w:type="dxa" w:w="403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사용 중지 여부, 교체 부품, 시험 결과</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안전·정보보호 담당</w:t>
            </w:r>
          </w:p>
        </w:tc>
        <w:tc>
          <w:tcPr>
            <w:tcW w:type="dxa" w:w="388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사고·근접사건 검토, 개인정보와 자료 접근 관리</w:t>
            </w:r>
          </w:p>
        </w:tc>
        <w:tc>
          <w:tcPr>
            <w:tcW w:type="dxa" w:w="403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보고 여부, 접근권한, 보존 기한</w:t>
            </w:r>
          </w:p>
        </w:tc>
      </w:tr>
    </w:tbl>
    <w:p>
      <w:pPr>
        <w:spacing w:after="20"/>
      </w:pPr>
    </w:p>
    <w:p>
      <w:r>
        <w:t>같은 사람이 여러 역할을 맡을 수 있지만, 비행 중 조종 책임과 외부 기관의 현장지휘, 의료품의 사용 적합성 판단은 서로 혼동하지 않는다. 관제센터의 당직책임자가 조종자의 비상조작을 대신한다는 뜻도 아니다.</w:t>
      </w:r>
    </w:p>
    <w:p>
      <w:pPr>
        <w:pStyle w:val="Heading1"/>
      </w:pPr>
      <w:r>
        <w:t>3 한 건의 사건을 처리하는 표준 흐름</w:t>
      </w:r>
    </w:p>
    <w:tbl>
      <w:tblPr>
        <w:tblW w:type="auto" w:w="0"/>
        <w:jc w:val="center"/>
        <w:tblLayout w:type="fixed"/>
        <w:tblLook w:firstColumn="1" w:firstRow="1" w:lastColumn="0" w:lastRow="0" w:noHBand="0" w:noVBand="1" w:val="04A0"/>
      </w:tblPr>
      <w:tblGrid>
        <w:gridCol w:w="1584"/>
        <w:gridCol w:w="4680"/>
        <w:gridCol w:w="3600"/>
      </w:tblGrid>
      <w:tr>
        <w:trPr>
          <w:tblHeader w:val="true"/>
          <w:tblHeader w:val="true"/>
          <w:tblHeader w:val="true"/>
        </w:trPr>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단계</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필수 확인</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완료 또는 보류 기준</w:t>
            </w:r>
          </w:p>
        </w:tc>
      </w:tr>
      <w:tr>
        <w:tc>
          <w:tcPr>
            <w:tcW w:type="dxa" w:w="158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교대 인수</w:t>
            </w:r>
          </w:p>
        </w:tc>
        <w:tc>
          <w:tcPr>
            <w:tcW w:type="dxa" w:w="468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진행 사건, 경보, 기체 사용 중지, 연락망, 인력 피로</w:t>
            </w:r>
          </w:p>
        </w:tc>
        <w:tc>
          <w:tcPr>
            <w:tcW w:type="dxa" w:w="360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미해결 항목과 다음 책임자를 명시</w:t>
            </w:r>
          </w:p>
        </w:tc>
      </w:tr>
      <w:tr>
        <w:tc>
          <w:tcPr>
            <w:tcW w:type="dxa" w:w="158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접수</w:t>
            </w:r>
          </w:p>
        </w:tc>
        <w:tc>
          <w:tcPr>
            <w:tcW w:type="dxa" w:w="468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요청기관, 목적, 구역, 시간, 수령자, 현장지휘자</w:t>
            </w:r>
          </w:p>
        </w:tc>
        <w:tc>
          <w:tcPr>
            <w:tcW w:type="dxa" w:w="360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권한 또는 목적 불명확 시 보류</w:t>
            </w:r>
          </w:p>
        </w:tc>
      </w:tr>
      <w:tr>
        <w:tc>
          <w:tcPr>
            <w:tcW w:type="dxa" w:w="158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적합성 검토</w:t>
            </w:r>
          </w:p>
        </w:tc>
        <w:tc>
          <w:tcPr>
            <w:tcW w:type="dxa" w:w="468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공역·승인, 최신 기상, 지상 위험, 자격, 배터리·통신·대체지</w:t>
            </w:r>
          </w:p>
        </w:tc>
        <w:tc>
          <w:tcPr>
            <w:tcW w:type="dxa" w:w="360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하나라도 확인 불가하면 재검토</w:t>
            </w:r>
          </w:p>
        </w:tc>
      </w:tr>
      <w:tr>
        <w:tc>
          <w:tcPr>
            <w:tcW w:type="dxa" w:w="158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공동 브리핑</w:t>
            </w:r>
          </w:p>
        </w:tc>
        <w:tc>
          <w:tcPr>
            <w:tcW w:type="dxa" w:w="468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역할, 교신, 비행 범위, 중단 기준, 이탈·착륙 절차</w:t>
            </w:r>
          </w:p>
        </w:tc>
        <w:tc>
          <w:tcPr>
            <w:tcW w:type="dxa" w:w="360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현장팀이 같은 계획을 확인</w:t>
            </w:r>
          </w:p>
        </w:tc>
      </w:tr>
      <w:tr>
        <w:tc>
          <w:tcPr>
            <w:tcW w:type="dxa" w:w="158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운항 감시</w:t>
            </w:r>
          </w:p>
        </w:tc>
        <w:tc>
          <w:tcPr>
            <w:tcW w:type="dxa" w:w="468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기체·링크·배터리·위치 신뢰도와 상황변화</w:t>
            </w:r>
          </w:p>
        </w:tc>
        <w:tc>
          <w:tcPr>
            <w:tcW w:type="dxa" w:w="360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이상은 조종자에게 즉시 전달</w:t>
            </w:r>
          </w:p>
        </w:tc>
      </w:tr>
      <w:tr>
        <w:tc>
          <w:tcPr>
            <w:tcW w:type="dxa" w:w="158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종료·인계</w:t>
            </w:r>
          </w:p>
        </w:tc>
        <w:tc>
          <w:tcPr>
            <w:tcW w:type="dxa" w:w="468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착륙, 물품·영상 인계, 정비표지, 사건기록</w:t>
            </w:r>
          </w:p>
        </w:tc>
        <w:tc>
          <w:tcPr>
            <w:tcW w:type="dxa" w:w="360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미해결 조치의 담당자를 지정</w:t>
            </w:r>
          </w:p>
        </w:tc>
      </w:tr>
    </w:tbl>
    <w:p>
      <w:pPr>
        <w:spacing w:after="20"/>
      </w:pPr>
    </w:p>
    <w:p>
      <w:pPr>
        <w:pStyle w:val="Heading1"/>
      </w:pPr>
      <w:r>
        <w:t>4 임무별 추가 조건</w:t>
      </w:r>
    </w:p>
    <w:tbl>
      <w:tblPr>
        <w:tblW w:type="auto" w:w="0"/>
        <w:jc w:val="center"/>
        <w:tblLayout w:type="fixed"/>
        <w:tblLook w:firstColumn="1" w:firstRow="1" w:lastColumn="0" w:lastRow="0" w:noHBand="0" w:noVBand="1" w:val="04A0"/>
      </w:tblPr>
      <w:tblGrid>
        <w:gridCol w:w="1944"/>
        <w:gridCol w:w="5472"/>
        <w:gridCol w:w="2448"/>
      </w:tblGrid>
      <w:tr>
        <w:trPr>
          <w:tblHeader w:val="true"/>
          <w:tblHeader w:val="true"/>
          <w:tblHeader w:val="true"/>
        </w:trPr>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임무</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추가 확인</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결과를 받는 곳</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의료물류</w:t>
            </w:r>
          </w:p>
        </w:tc>
        <w:tc>
          <w:tcPr>
            <w:tcW w:type="dxa" w:w="547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병원·수령자, 봉인·온도, 예비 운송수단; 품질 판정은 의료기관</w:t>
            </w:r>
          </w:p>
        </w:tc>
        <w:tc>
          <w:tcPr>
            <w:tcW w:type="dxa" w:w="244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요청 의료기관</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실종자 수색</w:t>
            </w:r>
          </w:p>
        </w:tc>
        <w:tc>
          <w:tcPr>
            <w:tcW w:type="dxa" w:w="547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지휘기관 수색범위, 주민 영상 최소화, 발견 의심 정보의 신뢰도</w:t>
            </w:r>
          </w:p>
        </w:tc>
        <w:tc>
          <w:tcPr>
            <w:tcW w:type="dxa" w:w="244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 경찰·소방</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산불·화재 감시</w:t>
            </w:r>
          </w:p>
        </w:tc>
        <w:tc>
          <w:tcPr>
            <w:tcW w:type="dxa" w:w="547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소방항공기 활동, 연기·열·풍향, 유인항공기 접근 시 중단</w:t>
            </w:r>
          </w:p>
        </w:tc>
        <w:tc>
          <w:tcPr>
            <w:tcW w:type="dxa" w:w="244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현장지휘기관</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환경·생태 조사</w:t>
            </w:r>
          </w:p>
        </w:tc>
        <w:tc>
          <w:tcPr>
            <w:tcW w:type="dxa" w:w="547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조사구역·표본계획, 보호구역·야생동물 교란, 민감 위치 제한</w:t>
            </w:r>
          </w:p>
        </w:tc>
        <w:tc>
          <w:tcPr>
            <w:tcW w:type="dxa" w:w="244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조사기관</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홍수·교통</w:t>
            </w:r>
          </w:p>
        </w:tc>
        <w:tc>
          <w:tcPr>
            <w:tcW w:type="dxa" w:w="547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영상의 촬영시각, 교량·전선, 구조 동선과 접근 제한</w:t>
            </w:r>
          </w:p>
        </w:tc>
        <w:tc>
          <w:tcPr>
            <w:tcW w:type="dxa" w:w="244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지자체·현장기관</w:t>
            </w:r>
          </w:p>
        </w:tc>
      </w:tr>
      <w:tr>
        <w:tc>
          <w:tcPr>
            <w:tcW w:type="dxa" w:w="194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시설 점검</w:t>
            </w:r>
          </w:p>
        </w:tc>
        <w:tc>
          <w:tcPr>
            <w:tcW w:type="dxa" w:w="547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시설 소유자 접근 허가, 구조물 이격, 통신 음영</w:t>
            </w:r>
          </w:p>
        </w:tc>
        <w:tc>
          <w:tcPr>
            <w:tcW w:type="dxa" w:w="244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시설관리자</w:t>
            </w:r>
          </w:p>
        </w:tc>
      </w:tr>
      <w:tr>
        <w:tc>
          <w:tcPr>
            <w:tcW w:type="dxa" w:w="194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스테이션 정비</w:t>
            </w:r>
          </w:p>
        </w:tc>
        <w:tc>
          <w:tcPr>
            <w:tcW w:type="dxa" w:w="547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고장 장비 격리, 작업허가, 시험·복귀 승인 분리</w:t>
            </w:r>
          </w:p>
        </w:tc>
        <w:tc>
          <w:tcPr>
            <w:tcW w:type="dxa" w:w="244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당직책임자·조종팀</w:t>
            </w:r>
          </w:p>
        </w:tc>
      </w:tr>
    </w:tbl>
    <w:p>
      <w:pPr>
        <w:spacing w:after="20"/>
      </w:pPr>
    </w:p>
    <w:p>
      <w:pPr>
        <w:pStyle w:val="Heading1"/>
      </w:pPr>
      <w:r>
        <w:t>5 화면과 자료 설계</w:t>
      </w:r>
    </w:p>
    <w:p>
      <w:pPr>
        <w:pStyle w:val="ListBullet"/>
        <w:spacing w:after="60"/>
      </w:pPr>
      <w:r>
        <w:t>사건 목록: 접수·검토·대기·비행·이상·종료 상태와 담당자, 마지막 갱신시각을 표시한다.</w:t>
      </w:r>
    </w:p>
    <w:p>
      <w:pPr>
        <w:pStyle w:val="ListBullet"/>
        <w:spacing w:after="60"/>
      </w:pPr>
      <w:r>
        <w:t>임무 상세: 공식 공역과 기상자료의 출처·관측시각·확인자를 기록하되, 실제 승인 정보는 승인기관의 원본을 기준으로 한다.</w:t>
      </w:r>
    </w:p>
    <w:p>
      <w:pPr>
        <w:pStyle w:val="ListBullet"/>
        <w:spacing w:after="60"/>
      </w:pPr>
      <w:r>
        <w:t>자원 상태: 기체·배터리·도킹·통신의 사용 가능, 점검 필요, 사용 중지 상태와 정비 이력을 분리한다.</w:t>
      </w:r>
    </w:p>
    <w:p>
      <w:pPr>
        <w:pStyle w:val="ListBullet"/>
        <w:spacing w:after="60"/>
      </w:pPr>
      <w:r>
        <w:t>상황지도: 확정 위치와 추정 위치를 다른 기호로 표시하고, 데이터 시각과 좌표 신뢰도를 함께 보인다.</w:t>
      </w:r>
    </w:p>
    <w:p>
      <w:pPr>
        <w:pStyle w:val="ListBullet"/>
        <w:spacing w:after="60"/>
      </w:pPr>
      <w:r>
        <w:t>경보·기록: 발생시각, 수신자, 조치, 해제 또는 미해결 상태를 남긴다. 화면을 닫아도 기록이 남을 저장 체계가 있어야 실운영이 가능하다.</w:t>
      </w:r>
    </w:p>
    <w:p>
      <w:r>
        <w:t>현재 FDPS LAB 사이트의 관제센터 트윈은 연구·훈련용이며 드론원스톱, 기상청, 항공기상청, 재난안전데이터, 브이월드 등에 대한 바로가기와 브라우저 내 연습기록을 제공한다. 기체 위치, 승인, 현장 영상의 실시간 연동은 구현된 상태가 아니다.</w:t>
      </w:r>
    </w:p>
    <w:p>
      <w:pPr>
        <w:pStyle w:val="Heading1"/>
      </w:pPr>
      <w:r>
        <w:t>6 비정상 상황과 정비 복귀</w:t>
      </w:r>
    </w:p>
    <w:p>
      <w:r>
        <w:t>링크 상실, 위치정보 불일치, 배터리 여유 부족, 돌풍, 유인항공기 접근, 의료품 품질 이탈을 공통 사건유형으로 둔다. 경보마다 발견자, 조종자, 당직책임자, 현장기관의 연락 순서와 중단 조건을 미리 지정한다. 구체적인 자동복귀 설정과 수치 한계는 기체 설명서, 승인 조건, 현장 위험평가에서 결정한다.</w:t>
      </w:r>
    </w:p>
    <w:tbl>
      <w:tblPr>
        <w:tblW w:type="auto" w:w="0"/>
        <w:jc w:val="center"/>
        <w:tblLayout w:type="fixed"/>
        <w:tblLook w:firstColumn="1" w:firstRow="1" w:lastColumn="0" w:lastRow="0" w:noHBand="0" w:noVBand="1" w:val="04A0"/>
      </w:tblPr>
      <w:tblGrid>
        <w:gridCol w:w="2088"/>
        <w:gridCol w:w="4536"/>
        <w:gridCol w:w="3240"/>
      </w:tblGrid>
      <w:tr>
        <w:trPr>
          <w:tblHeader w:val="true"/>
          <w:tblHeader w:val="true"/>
          <w:tblHeader w:val="true"/>
        </w:trPr>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상황</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즉시 처리</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재개 조건</w:t>
            </w:r>
          </w:p>
        </w:tc>
      </w:tr>
      <w:tr>
        <w:tc>
          <w:tcPr>
            <w:tcW w:type="dxa" w:w="208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링크·위치 이상</w:t>
            </w:r>
          </w:p>
        </w:tc>
        <w:tc>
          <w:tcPr>
            <w:tcW w:type="dxa" w:w="4536"/>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조종자에게 통보, 마지막 정상 상태 확인, 승인된 실패절차 시행</w:t>
            </w:r>
          </w:p>
        </w:tc>
        <w:tc>
          <w:tcPr>
            <w:tcW w:type="dxa" w:w="324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원인 확인·정비·재브리핑 뒤 별도 판단</w:t>
            </w:r>
          </w:p>
        </w:tc>
      </w:tr>
      <w:tr>
        <w:tc>
          <w:tcPr>
            <w:tcW w:type="dxa" w:w="208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기상·유인항공기 위험</w:t>
            </w:r>
          </w:p>
        </w:tc>
        <w:tc>
          <w:tcPr>
            <w:tcW w:type="dxa" w:w="4536"/>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현장기관과 공유하고 예정된 종료·이탈 절차 시행</w:t>
            </w:r>
          </w:p>
        </w:tc>
        <w:tc>
          <w:tcPr>
            <w:tcW w:type="dxa" w:w="324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새 기상·공역 확인과 재승인 필요 여부 검토</w:t>
            </w:r>
          </w:p>
        </w:tc>
      </w:tr>
      <w:tr>
        <w:tc>
          <w:tcPr>
            <w:tcW w:type="dxa" w:w="208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물품·영상 품질 이탈</w:t>
            </w:r>
          </w:p>
        </w:tc>
        <w:tc>
          <w:tcPr>
            <w:tcW w:type="dxa" w:w="4536"/>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물품 격리 또는 자료에 품질 경고 표기</w:t>
            </w:r>
          </w:p>
        </w:tc>
        <w:tc>
          <w:tcPr>
            <w:tcW w:type="dxa" w:w="3240"/>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의료기관 또는 자료 책임자의 판정</w:t>
            </w:r>
          </w:p>
        </w:tc>
      </w:tr>
      <w:tr>
        <w:tc>
          <w:tcPr>
            <w:tcW w:type="dxa" w:w="208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기체·도킹 고장</w:t>
            </w:r>
          </w:p>
        </w:tc>
        <w:tc>
          <w:tcPr>
            <w:tcW w:type="dxa" w:w="4536"/>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사용 중지 표지, A/S 진단 및 부품·시험 기록</w:t>
            </w:r>
          </w:p>
        </w:tc>
        <w:tc>
          <w:tcPr>
            <w:tcW w:type="dxa" w:w="3240"/>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정비 확인과 운영 복귀 승인 분리</w:t>
            </w:r>
          </w:p>
        </w:tc>
      </w:tr>
    </w:tbl>
    <w:p>
      <w:pPr>
        <w:spacing w:after="20"/>
      </w:pPr>
    </w:p>
    <w:p>
      <w:pPr>
        <w:pStyle w:val="Heading1"/>
      </w:pPr>
      <w:r>
        <w:t>7 초기 구축 범위와 비용 산정 방식</w:t>
      </w:r>
    </w:p>
    <w:p>
      <w:r>
        <w:t>첫 단계에서 대형 신축 관제탑은 필요조건으로 두지 않는다. 기존 사무실의 소형 상황실, 현장팀의 조종 장비, 기본 통신·전원·기록 시스템을 먼저 검증한다. 모형 관제탑 외형은 홍보·교육용으로 분리하고 안전 기능을 대신하는 것으로 표시하지 않는다.</w:t>
      </w:r>
    </w:p>
    <w:tbl>
      <w:tblPr>
        <w:tblW w:type="auto" w:w="0"/>
        <w:jc w:val="center"/>
        <w:tblLayout w:type="fixed"/>
        <w:tblLook w:firstColumn="1" w:firstRow="1" w:lastColumn="0" w:lastRow="0" w:noHBand="0" w:noVBand="1" w:val="04A0"/>
      </w:tblPr>
      <w:tblGrid>
        <w:gridCol w:w="1872"/>
        <w:gridCol w:w="4608"/>
        <w:gridCol w:w="3384"/>
      </w:tblGrid>
      <w:tr>
        <w:trPr>
          <w:tblHeader w:val="true"/>
          <w:tblHeader w:val="true"/>
          <w:tblHeader w:val="true"/>
        </w:trPr>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필수 초기 묶음</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검토할 구성</w:t>
            </w:r>
          </w:p>
        </w:tc>
        <w:tc>
          <w:tcPr>
            <w:tcW w:type="dxa" w:w="3331"/>
            <w:vAlign w:val="center"/>
            <w:tcMar>
              <w:top w:w="85" w:type="dxa"/>
              <w:left w:w="85" w:type="dxa"/>
              <w:bottom w:w="85" w:type="dxa"/>
              <w:right w:w="85" w:type="dxa"/>
            </w:tcMar>
            <w:shd w:fill="193342"/>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b/>
                <w:color w:val="FFFFFF"/>
                <w:sz w:val="16"/>
              </w:rPr>
              <w:t>발주 전 확인</w:t>
            </w:r>
          </w:p>
        </w:tc>
      </w:tr>
      <w:tr>
        <w:tc>
          <w:tcPr>
            <w:tcW w:type="dxa" w:w="187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공간·전원</w:t>
            </w:r>
          </w:p>
        </w:tc>
        <w:tc>
          <w:tcPr>
            <w:tcW w:type="dxa" w:w="460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2인 상황석, 현장 브리핑 공간, UPS, 출입 통제</w:t>
            </w:r>
          </w:p>
        </w:tc>
        <w:tc>
          <w:tcPr>
            <w:tcW w:type="dxa" w:w="338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소방·전기·통신 설비 여건</w:t>
            </w:r>
          </w:p>
        </w:tc>
      </w:tr>
      <w:tr>
        <w:tc>
          <w:tcPr>
            <w:tcW w:type="dxa" w:w="187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운영 화면</w:t>
            </w:r>
          </w:p>
        </w:tc>
        <w:tc>
          <w:tcPr>
            <w:tcW w:type="dxa" w:w="460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사건접수, 공식자료 링크, 상태판, 기록·백업</w:t>
            </w:r>
          </w:p>
        </w:tc>
        <w:tc>
          <w:tcPr>
            <w:tcW w:type="dxa" w:w="338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권한관리·시간 동기화·접근기록</w:t>
            </w:r>
          </w:p>
        </w:tc>
      </w:tr>
      <w:tr>
        <w:tc>
          <w:tcPr>
            <w:tcW w:type="dxa" w:w="187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현장 장비</w:t>
            </w:r>
          </w:p>
        </w:tc>
        <w:tc>
          <w:tcPr>
            <w:tcW w:type="dxa" w:w="460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임무별 기체·배터리·예비부품·조종 장치</w:t>
            </w:r>
          </w:p>
        </w:tc>
        <w:tc>
          <w:tcPr>
            <w:tcW w:type="dxa" w:w="338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기체 인증·보험·정비·교육 조건</w:t>
            </w:r>
          </w:p>
        </w:tc>
      </w:tr>
      <w:tr>
        <w:tc>
          <w:tcPr>
            <w:tcW w:type="dxa" w:w="1872"/>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통신·보안</w:t>
            </w:r>
          </w:p>
        </w:tc>
        <w:tc>
          <w:tcPr>
            <w:tcW w:type="dxa" w:w="4608"/>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주·예비 연락망, 암호화 저장, 계정 구분</w:t>
            </w:r>
          </w:p>
        </w:tc>
        <w:tc>
          <w:tcPr>
            <w:tcW w:type="dxa" w:w="3384"/>
            <w:vAlign w:val="center"/>
            <w:tcMar>
              <w:top w:w="85" w:type="dxa"/>
              <w:left w:w="85" w:type="dxa"/>
              <w:bottom w:w="85" w:type="dxa"/>
              <w:right w:w="85" w:type="dxa"/>
            </w:tcMar>
            <w:shd w:fill="F1F5F6"/>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장애시 수기 전환 및 데이터 보관</w:t>
            </w:r>
          </w:p>
        </w:tc>
      </w:tr>
      <w:tr>
        <w:tc>
          <w:tcPr>
            <w:tcW w:type="dxa" w:w="1872"/>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인력·훈련</w:t>
            </w:r>
          </w:p>
        </w:tc>
        <w:tc>
          <w:tcPr>
            <w:tcW w:type="dxa" w:w="4608"/>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당직·조종·현장·정비 교육과 교대 운영</w:t>
            </w:r>
          </w:p>
        </w:tc>
        <w:tc>
          <w:tcPr>
            <w:tcW w:type="dxa" w:w="3384"/>
            <w:vAlign w:val="center"/>
            <w:tcMar>
              <w:top w:w="85" w:type="dxa"/>
              <w:left w:w="85" w:type="dxa"/>
              <w:bottom w:w="85" w:type="dxa"/>
              <w:right w:w="85" w:type="dxa"/>
            </w:tcMar>
            <w:shd w:fill="FFFFFF"/>
            <w:tcBorders>
              <w:top w:val="single" w:sz="4" w:color="D9D9D9"/>
              <w:left w:val="single" w:sz="4" w:color="D9D9D9"/>
              <w:bottom w:val="single" w:sz="4" w:color="D9D9D9"/>
              <w:right w:val="single" w:sz="4" w:color="D9D9D9"/>
            </w:tcBorders>
          </w:tcPr>
          <w:p>
            <w:pPr>
              <w:spacing w:after="0" w:line="276" w:lineRule="auto"/>
            </w:pPr>
            <w:r>
              <w:rPr>
                <w:rFonts w:ascii="Malgun Gothic" w:hAnsi="Malgun Gothic" w:eastAsia="Malgun Gothic"/>
                <w:color w:val="191F24"/>
                <w:sz w:val="16"/>
              </w:rPr>
              <w:t>기관별 책임·근무시간·훈련비</w:t>
            </w:r>
          </w:p>
        </w:tc>
      </w:tr>
    </w:tbl>
    <w:p>
      <w:pPr>
        <w:spacing w:after="20"/>
      </w:pPr>
    </w:p>
    <w:p>
      <w:r>
        <w:t>견적은 기종, 권역, 운영시간, 통신 이중화 수준, 인력 교대 방식이 확정된 뒤 품목별 수량·단가·유지보수비로 산출한다. 이 문서에는 근거 없는 총사업비나 장비 가격을 기입하지 않는다.</w:t>
      </w:r>
    </w:p>
    <w:p>
      <w:pPr>
        <w:pStyle w:val="Heading1"/>
      </w:pPr>
      <w:r>
        <w:t>8 시범사업 검증 순서</w:t>
      </w:r>
    </w:p>
    <w:p>
      <w:pPr>
        <w:pStyle w:val="ListBullet"/>
        <w:spacing w:after="60"/>
      </w:pPr>
      <w:r>
        <w:t>1단계: 경희대 주변 가상 임무로 접수·근거 확인·이상 대응·교대 인계 절차를 반복 훈련한다.</w:t>
      </w:r>
    </w:p>
    <w:p>
      <w:pPr>
        <w:pStyle w:val="ListBullet"/>
        <w:spacing w:after="60"/>
      </w:pPr>
      <w:r>
        <w:t>2단계: 한 개 기관·한 개 권역과 협의하여 단일 임무(예: 환경조사 또는 시설 점검)의 권한·자료 흐름을 검증한다.</w:t>
      </w:r>
    </w:p>
    <w:p>
      <w:pPr>
        <w:pStyle w:val="ListBullet"/>
        <w:spacing w:after="60"/>
      </w:pPr>
      <w:r>
        <w:t>3단계: 허가받은 실제 임무에서 조종팀, 당직, 정비, 현장기관 간 교신과 기록 누락을 점검한다.</w:t>
      </w:r>
    </w:p>
    <w:p>
      <w:pPr>
        <w:pStyle w:val="ListBullet"/>
        <w:spacing w:after="60"/>
      </w:pPr>
      <w:r>
        <w:t>4단계: 사건 처리시간, 근거 갱신 누락, 비상절차 훈련 완료율, 정비 미해결 건을 검토한 뒤 권역 확대 여부를 결정한다.</w:t>
      </w:r>
    </w:p>
    <w:p>
      <w:r>
        <w:t>착수 전 합의 문서: 참여기관의 책임분장표, 비행과 자료 처리 권한, 연락망, 승인된 운항 절차, 비상대응계획, 정비·보험 기준, 개인정보 처리와 기록 보존 기준. 해당 문서가 없으면 실비행을 전제로 관제 기능을 개시하지 않는다.</w:t>
      </w:r>
    </w:p>
    <w:p>
      <w:pPr>
        <w:pStyle w:val="Heading1"/>
      </w:pPr>
      <w:r>
        <w:t>9 참고자료와 적용 범위</w:t>
      </w:r>
    </w:p>
    <w:p>
      <w:r>
        <w:t>아래 자료는 설계 구조와 용어의 참고 출처다. 해외 자료는 국내 법적 허가를 대신하지 않는다. 실제 적용 시 최신 국내 법령, 관계기관 조건, 기체별 승인 문서를 다시 확인해야 한다.</w:t>
      </w:r>
    </w:p>
    <w:p>
      <w:pPr>
        <w:spacing w:after="40"/>
      </w:pPr>
      <w:r>
        <w:t>국토교통부 드론원스톱 민원서비스: drone.onestop.go.kr  |  국가법령정보센터, 항공안전법 제129조(2026.9.17. 시행): law.go.kr</w:t>
      </w:r>
    </w:p>
    <w:p>
      <w:pPr>
        <w:spacing w:after="40"/>
      </w:pPr>
      <w:r>
        <w:t>EASA, Operations Manual example for UAS operations at SAIL II (2023): easa.europa.eu/en/downloads/138411/en</w:t>
      </w:r>
    </w:p>
    <w:p>
      <w:pPr>
        <w:spacing w:after="40"/>
      </w:pPr>
      <w:r>
        <w:t>ICAO, UTM Guidance and Framework Edition 4: icao.int/utm-guidance</w:t>
      </w:r>
    </w:p>
    <w:p>
      <w:pPr>
        <w:spacing w:after="40"/>
      </w:pPr>
      <w:r>
        <w:t>기상청 weather.go.kr  |  항공기상청 global.amo.go.kr  |  브이월드 vworld.kr  |  재난안전데이터 safetydata.go.kr</w:t>
      </w:r>
    </w:p>
    <w:p>
      <w:pPr>
        <w:pStyle w:val="Heading1"/>
      </w:pPr>
      <w:r>
        <w:t>10 국제 기준 적용 체계</w:t>
      </w:r>
    </w:p>
    <w:p>
      <w:r>
        <w:t>이 설계는 국제 기준을 문서의 공통 구조와 검토 질문으로 사용한다. ISO 표준 원문 전체와 한국의 적용 법규, 기체별 승인 조건을 대조하기 전에는 ISO 적합성 또는 인증을 주장하지 않는다. 표준 판본이 바뀌면 문서관리자가 영향평가표를 만들고 양식을 개정한다.</w:t>
      </w:r>
    </w:p>
    <w:tbl>
      <w:tblPr>
        <w:tblW w:type="auto" w:w="0"/>
        <w:tblLayout w:type="fixed"/>
        <w:tblLook w:firstColumn="1" w:firstRow="1" w:lastColumn="0" w:lastRow="0" w:noHBand="0" w:noVBand="1" w:val="04A0"/>
      </w:tblPr>
      <w:tblGrid>
        <w:gridCol w:w="3331"/>
        <w:gridCol w:w="3331"/>
        <w:gridCol w:w="3331"/>
      </w:tblGrid>
      <w:tr>
        <w:trPr>
          <w:tblHeader w:val="true"/>
        </w:trPr>
        <w:tc>
          <w:tcPr>
            <w:tcW w:type="dxa" w:w="3331"/>
            <w:shd w:fill="193342"/>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b/>
                <w:color w:val="FFFFFF"/>
                <w:sz w:val="16"/>
              </w:rPr>
              <w:t>기준</w:t>
            </w:r>
          </w:p>
        </w:tc>
        <w:tc>
          <w:tcPr>
            <w:tcW w:type="dxa" w:w="3331"/>
            <w:shd w:fill="193342"/>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b/>
                <w:color w:val="FFFFFF"/>
                <w:sz w:val="16"/>
              </w:rPr>
              <w:t>이 문서에서 적용할 영역</w:t>
            </w:r>
          </w:p>
        </w:tc>
        <w:tc>
          <w:tcPr>
            <w:tcW w:type="dxa" w:w="3331"/>
            <w:shd w:fill="193342"/>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b/>
                <w:color w:val="FFFFFF"/>
                <w:sz w:val="16"/>
              </w:rPr>
              <w:t>판정 한계</w:t>
            </w:r>
          </w:p>
        </w:tc>
      </w:tr>
      <w:tr>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ISO 21384-3:2026</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상업용 무인항공기 운항 절차의 구조, 인력·기체·임무 위험 관리</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원문 조항별 대조 및 독립 검토 필요</w:t>
            </w:r>
          </w:p>
        </w:tc>
      </w:tr>
      <w:tr>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ICAO UTM Framework Edition 4</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공역 제약·비행 의도·상태 정보 교환 및 비상절차</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 LAB가 UTM 제공기관이라는 뜻 아님</w:t>
            </w:r>
          </w:p>
        </w:tc>
      </w:tr>
      <w:tr>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ISO 23629-5:2023 / -9:2023</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UTM 핵심 기능과 정보교환 필드 설계 참고</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구현·상호운용성 시험 별도</w:t>
            </w:r>
          </w:p>
        </w:tc>
      </w:tr>
      <w:tr>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ISO 9001:2026</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문서 개정, 교육, 부적합·시정조치의 품질관리 구조</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인증 심사나 적합성 평가 별도</w:t>
            </w:r>
          </w:p>
        </w:tc>
      </w:tr>
      <w:tr>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ISO/IEC 27001:2022</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접근권한·로그·백업·정보보호 위험관리 구조</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보안 통제의 실제 시험과 인증 별도</w:t>
            </w:r>
          </w:p>
        </w:tc>
      </w:tr>
      <w:tr>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대한민국 법령·승인</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비행승인, 조종자·기체 요건, 관계기관 권한</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실제 운항에는 국내 기준 우선</w:t>
            </w:r>
          </w:p>
        </w:tc>
      </w:tr>
    </w:tbl>
    <w:p/>
    <w:p>
      <w:pPr>
        <w:pStyle w:val="Heading1"/>
      </w:pPr>
      <w:r>
        <w:t>11 문서 통제와 서식 목록</w:t>
      </w:r>
    </w:p>
    <w:p>
      <w:r>
        <w:t>모든 운영서류의 첫머리에 문서번호, 버전, 시행일, 작성·검토·승인자, 적용 범위와 다음 검토일을 둔다. 개정 이력에는 바뀐 항목과 사유를 적고 구버전은 보관 상태로 전환한다. 사건별 기록에는 작성 시각, 자료 출처, 책임자와 후속조치를 남긴다.</w:t>
      </w:r>
    </w:p>
    <w:tbl>
      <w:tblPr>
        <w:tblW w:type="auto" w:w="0"/>
        <w:tblLayout w:type="fixed"/>
        <w:tblLook w:firstColumn="1" w:firstRow="1" w:lastColumn="0" w:lastRow="0" w:noHBand="0" w:noVBand="1" w:val="04A0"/>
      </w:tblPr>
      <w:tblGrid>
        <w:gridCol w:w="3331"/>
        <w:gridCol w:w="3331"/>
        <w:gridCol w:w="3331"/>
      </w:tblGrid>
      <w:tr>
        <w:trPr>
          <w:tblHeader w:val="true"/>
        </w:trPr>
        <w:tc>
          <w:tcPr>
            <w:tcW w:type="dxa" w:w="3331"/>
            <w:shd w:fill="193342"/>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b/>
                <w:color w:val="FFFFFF"/>
                <w:sz w:val="16"/>
              </w:rPr>
              <w:t>번호</w:t>
            </w:r>
          </w:p>
        </w:tc>
        <w:tc>
          <w:tcPr>
            <w:tcW w:type="dxa" w:w="3331"/>
            <w:shd w:fill="193342"/>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b/>
                <w:color w:val="FFFFFF"/>
                <w:sz w:val="16"/>
              </w:rPr>
              <w:t>서식</w:t>
            </w:r>
          </w:p>
        </w:tc>
        <w:tc>
          <w:tcPr>
            <w:tcW w:type="dxa" w:w="3331"/>
            <w:shd w:fill="193342"/>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b/>
                <w:color w:val="FFFFFF"/>
                <w:sz w:val="16"/>
              </w:rPr>
              <w:t>핵심 증거</w:t>
            </w:r>
          </w:p>
        </w:tc>
      </w:tr>
      <w:tr>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FDPS-F-01</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교대 인수인계</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진행 사건·장비결함·인수자</w:t>
            </w:r>
          </w:p>
        </w:tc>
      </w:tr>
      <w:tr>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FDPS-F-02</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임무 접수 및 권한 확인</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요청기관·목적·현장지휘·승인 근거</w:t>
            </w:r>
          </w:p>
        </w:tc>
      </w:tr>
      <w:tr>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FDPS-F-03</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출동 적합성 판단</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공역·기상·인력·기체·중단조건·판정</w:t>
            </w:r>
          </w:p>
        </w:tc>
      </w:tr>
      <w:tr>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FDPS-F-04</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비행 상황 및 이상 기록</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시각·위치 신뢰도·경보·조치·통보</w:t>
            </w:r>
          </w:p>
        </w:tc>
      </w:tr>
      <w:tr>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FDPS-F-05</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종료 및 자료 인계</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착륙·수령자·원자료·접근권한</w:t>
            </w:r>
          </w:p>
        </w:tc>
      </w:tr>
      <w:tr>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FDPS-F-06</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결함·정비·복귀 승인</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격리·수리·시험·재사용 판정</w:t>
            </w:r>
          </w:p>
        </w:tc>
      </w:tr>
      <w:tr>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FDPS-F-07</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훈련·역량 기록</w:t>
            </w:r>
          </w:p>
        </w:tc>
        <w:tc>
          <w:tcPr>
            <w:tcW w:type="dxa" w:w="3331"/>
            <w:shd w:fill="FFFFFF"/>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교육·훈련·평가·재훈련</w:t>
            </w:r>
          </w:p>
        </w:tc>
      </w:tr>
      <w:tr>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FDPS-F-08</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부적합·시정조치</w:t>
            </w:r>
          </w:p>
        </w:tc>
        <w:tc>
          <w:tcPr>
            <w:tcW w:type="dxa" w:w="3331"/>
            <w:shd w:fill="F2F5F6"/>
            <w:tcBorders>
              <w:top w:val="single" w:sz="4" w:color="D9D9D9"/>
              <w:bottom w:val="single" w:sz="4" w:color="D9D9D9"/>
              <w:left w:val="single" w:sz="4" w:color="D9D9D9"/>
              <w:right w:val="single" w:sz="4" w:color="D9D9D9"/>
            </w:tcBorders>
            <w:tcMar>
              <w:top w:w="75" w:type="dxa"/>
              <w:bottom w:w="75" w:type="dxa"/>
              <w:left w:w="75" w:type="dxa"/>
              <w:right w:w="75" w:type="dxa"/>
            </w:tcMar>
          </w:tcPr>
          <w:p>
            <w:pPr>
              <w:spacing w:after="0"/>
            </w:pPr>
            <w:r>
              <w:rPr>
                <w:rFonts w:ascii="Malgun Gothic" w:hAnsi="Malgun Gothic" w:eastAsia="Malgun Gothic"/>
                <w:color w:val="141414"/>
                <w:sz w:val="16"/>
              </w:rPr>
              <w:t>원인·담당·완료일·효과 확인</w:t>
            </w:r>
          </w:p>
        </w:tc>
      </w:tr>
    </w:tbl>
    <w:p/>
    <w:p>
      <w:pPr>
        <w:pStyle w:val="Heading1"/>
      </w:pPr>
      <w:r>
        <w:t>12 시범운영 검증 기준</w:t>
      </w:r>
    </w:p>
    <w:p>
      <w:r>
        <w:t>• 사건마다 필수 출처와 시각의 누락률을 집계한다. 누락을 발견하면 비행 진행보다 원인과 재발방지 조치를 우선 기록한다.</w:t>
      </w:r>
    </w:p>
    <w:p>
      <w:r>
        <w:t>• 모의 장애에는 관제센터 인터넷·전원 단절, 기체 링크 상실, 조종팀 연락 두절, 유인항공기 접근을 포함한다. 각 훈련은 담당자의 행동과 연락시간을 재구성할 수 있어야 한다.</w:t>
      </w:r>
    </w:p>
    <w:p>
      <w:r>
        <w:t>• 관제센터는 조종권·비행승인권·현장지휘권을 자동으로 얻지 않는다. 권한 표기가 바뀌는 화면과 서류는 관계기관 검토를 거친다.</w:t>
      </w:r>
    </w:p>
    <w:p>
      <w:r>
        <w:t>• 정기 개정 시 표준 발행기관의 최신 판본, 국내 법령, 승인조건, 제조사 문서의 변경을 함께 확인한다.</w:t>
      </w:r>
    </w:p>
    <w:p>
      <w:r>
        <w:t>확인 출처: ISO 21384-3:2026 (iso.org/standard/88660.html); ISO 9001:2026 (iso.org/standard/9001); ISO/IEC 27001:2022 (iso.org/standard/27001); ISO 23629-5:2023 (iso.org/standard/78961.html); ISO 23629-9:2023 (iso.org/standard/82188.html); ICAO UTM Guidance (icao.int/utm-guidance).</w:t>
      </w:r>
    </w:p>
    <w:sectPr w:rsidR="00FC693F" w:rsidRPr="0006063C" w:rsidSect="00034616">
      <w:footerReference w:type="default" r:id="rId9"/>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FDPS LAB  |  통합운영설계서  |  연구 초안</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98" w:lineRule="auto"/>
    </w:pPr>
    <w:rPr>
      <w:rFonts w:ascii="Malgun Gothic" w:hAnsi="Malgun Gothic" w:eastAsia="Malgun Gothic"/>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Malgun Gothic" w:hAnsi="Malgun Gothic" w:eastAsia="Malgun Gothic"/>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Malgun Gothic" w:hAnsi="Malgun Gothic" w:eastAsia="Malgun Gothic"/>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ascii="Malgun Gothic" w:hAnsi="Malgun Gothic" w:eastAsia="Malgun Gothic"/>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