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KR" w:hAnsi="Noto Sans CJK KR" w:eastAsia="Noto Sans CJK KR" w:cs="Noto Sans CJK KR"/>
          <w:b/>
          <w:i w:val="0"/>
          <w:color w:val="000000"/>
          <w:sz w:val="43"/>
        </w:rPr>
        <w:t>여성 군 인력의 직무 진입과 경력개발 정책 비교</w:t>
      </w:r>
    </w:p>
    <w:p>
      <w:pPr>
        <w:spacing w:after="120"/>
      </w:pPr>
      <w:r>
        <w:rPr>
          <w:rFonts w:ascii="Noto Sans CJK KR" w:hAnsi="Noto Sans CJK KR" w:eastAsia="Noto Sans CJK KR" w:cs="Noto Sans CJK KR"/>
          <w:b/>
          <w:i w:val="0"/>
          <w:color w:val="000000"/>
          <w:sz w:val="25"/>
        </w:rPr>
        <w:t>한국 캐나다 영국 호주 비교 연구계획서</w:t>
      </w:r>
    </w:p>
    <w:p>
      <w:pPr>
        <w:spacing w:after="200"/>
      </w:pPr>
      <w:r>
        <w:rPr>
          <w:rFonts w:ascii="Noto Sans CJK KR" w:hAnsi="Noto Sans CJK KR" w:eastAsia="Noto Sans CJK KR" w:cs="Noto Sans CJK KR"/>
          <w:b w:val="0"/>
          <w:i w:val="0"/>
          <w:color w:val="52616C"/>
          <w:sz w:val="17"/>
        </w:rPr>
        <w:t>FDPS LAB  ·  연구계획서 v1.1  ·  2026년 9월 30일</w:t>
      </w:r>
    </w:p>
    <w:p>
      <w:pPr>
        <w:pStyle w:val="Heading1"/>
      </w:pPr>
      <w:r>
        <w:t>연구 개요</w:t>
      </w:r>
    </w:p>
    <w:p>
      <w:pPr>
        <w:spacing w:after="100" w:line="269" w:lineRule="auto"/>
      </w:pPr>
      <w:r>
        <w:rPr>
          <w:rFonts w:ascii="Noto Sans CJK KR" w:hAnsi="Noto Sans CJK KR" w:eastAsia="Noto Sans CJK KR" w:cs="Noto Sans CJK KR"/>
          <w:b w:val="0"/>
          <w:i w:val="0"/>
          <w:color w:val="17212A"/>
          <w:sz w:val="20"/>
        </w:rPr>
        <w:t>이 연구의 1차 초점은 여성 장교와 부사관의 지원·선발, 직무 진입, 교육 기회와 진급·경력개발 정책이다. 복무 유지와 근무 여건은 핵심 성과로 단정하지 않고 경력 경로를 해석하는 보조 맥락으로 살핀다. 한국을 기준으로 캐나다·영국·호주의 공식 정책문서와 공개 통계를 비교해 정책 설계, 이행 정보, 자료 공개의 차이를 정리한다.</w:t>
      </w:r>
    </w:p>
    <w:p>
      <w:pPr>
        <w:spacing w:after="100" w:line="269" w:lineRule="auto"/>
      </w:pPr>
      <w:r>
        <w:rPr>
          <w:rFonts w:ascii="Noto Sans CJK KR" w:hAnsi="Noto Sans CJK KR" w:eastAsia="Noto Sans CJK KR" w:cs="Noto Sans CJK KR"/>
          <w:b/>
          <w:i w:val="0"/>
          <w:color w:val="17212A"/>
          <w:sz w:val="20"/>
        </w:rPr>
        <w:t xml:space="preserve">핵심 연구 질문  </w:t>
      </w:r>
      <w:r>
        <w:rPr>
          <w:rFonts w:ascii="Noto Sans CJK KR" w:hAnsi="Noto Sans CJK KR" w:eastAsia="Noto Sans CJK KR" w:cs="Noto Sans CJK KR"/>
          <w:b w:val="0"/>
          <w:i w:val="0"/>
          <w:color w:val="17212A"/>
          <w:sz w:val="20"/>
        </w:rPr>
        <w:t>한국·캐나다·영국·호주는 여성 장교·부사관의 지원·선발과 직무 진입, 교육·진급을 어떤 정책으로 설계하고 공개자료로 어떻게 설명하는가? 네 나라 자료에서 비교 가능한 항목과 확인이 필요한 자료 공백은 무엇인가?</w:t>
      </w:r>
    </w:p>
    <w:p>
      <w:pPr>
        <w:spacing w:after="100" w:line="269" w:lineRule="auto"/>
      </w:pPr>
      <w:r>
        <w:rPr>
          <w:rFonts w:ascii="Noto Sans CJK KR" w:hAnsi="Noto Sans CJK KR" w:eastAsia="Noto Sans CJK KR" w:cs="Noto Sans CJK KR"/>
          <w:b w:val="0"/>
          <w:i w:val="0"/>
          <w:color w:val="17212A"/>
          <w:sz w:val="20"/>
        </w:rPr>
        <w:t>첫 단계에서는 선행연구 정리, 공식 자료 기록표, 국가별 정책 비교표와 8~12쪽의 초기 연구메모를 만든다. 이 연구는 공개자료에 나타난 제도와 지표를 비교하는 설계이며, 정책의 인과 효과나 국가별 우열을 판정하지 않는다.</w:t>
      </w:r>
    </w:p>
    <w:p>
      <w:pPr>
        <w:pStyle w:val="Heading1"/>
      </w:pPr>
      <w:r>
        <w:t>1 연구 목표와 세부 질문</w:t>
      </w:r>
    </w:p>
    <w:p>
      <w:pPr>
        <w:pStyle w:val="ListBullet"/>
        <w:spacing w:after="60" w:line="259" w:lineRule="auto"/>
        <w:ind w:left="317" w:hanging="202"/>
      </w:pPr>
      <w:r>
        <w:rPr>
          <w:rFonts w:ascii="Noto Sans CJK KR" w:hAnsi="Noto Sans CJK KR" w:eastAsia="Noto Sans CJK KR" w:cs="Noto Sans CJK KR"/>
          <w:b w:val="0"/>
          <w:i w:val="0"/>
          <w:color w:val="17212A"/>
          <w:sz w:val="19"/>
        </w:rPr>
        <w:t>여성 장교·부사관의 직무 진입과 경력개발에 적용되는 정책을 모집·선발, 직무·교육, 진급 단계로 나누어 정리한다.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한국·캐나다·영국·호주의 정책 목표, 담당 주체, 실행수단과 공개 지표를 같은 분석표에 기록한다.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국가별 통계 정의와 공개 범위를 확인해 직접 비교 가능한 지표와 자료 공백을 구분한다.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공식 근거에 비추어 후속 연구 질문과 한국 정책에 참고할 수 있는 검토 과제를 제시한다.</w:t>
      </w:r>
    </w:p>
    <w:p>
      <w:pPr>
        <w:pStyle w:val="Heading2"/>
      </w:pPr>
      <w:r>
        <w:t>세부 질문</w:t>
      </w:r>
    </w:p>
    <w:p>
      <w:pPr>
        <w:pStyle w:val="ListBullet"/>
        <w:spacing w:after="60" w:line="259" w:lineRule="auto"/>
        <w:ind w:left="317" w:hanging="202"/>
      </w:pPr>
      <w:r>
        <w:rPr>
          <w:rFonts w:ascii="Noto Sans CJK KR" w:hAnsi="Noto Sans CJK KR" w:eastAsia="Noto Sans CJK KR" w:cs="Noto Sans CJK KR"/>
          <w:b w:val="0"/>
          <w:i w:val="0"/>
          <w:color w:val="17212A"/>
          <w:sz w:val="19"/>
        </w:rPr>
        <w:t>모집 경로와 선발 기준은 여성 지원자에게 직무별 진입 경로를 어떻게 제시하는가?</w:t>
      </w:r>
    </w:p>
    <w:p>
      <w:pPr>
        <w:pStyle w:val="ListBullet"/>
        <w:spacing w:after="60" w:line="259" w:lineRule="auto"/>
        <w:ind w:left="317" w:hanging="202"/>
      </w:pPr>
      <w:r>
        <w:rPr>
          <w:rFonts w:ascii="Noto Sans CJK KR" w:hAnsi="Noto Sans CJK KR" w:eastAsia="Noto Sans CJK KR" w:cs="Noto Sans CJK KR"/>
          <w:b w:val="0"/>
          <w:i w:val="0"/>
          <w:color w:val="17212A"/>
          <w:sz w:val="19"/>
        </w:rPr>
        <w:t>직무·병과 배치, 교육훈련과 자격 취득 기회는 어떤 기준으로 운영되고 공개되는가?</w:t>
      </w:r>
    </w:p>
    <w:p>
      <w:pPr>
        <w:pStyle w:val="ListBullet"/>
        <w:spacing w:after="60" w:line="259" w:lineRule="auto"/>
        <w:ind w:left="317" w:hanging="202"/>
      </w:pPr>
      <w:r>
        <w:rPr>
          <w:rFonts w:ascii="Noto Sans CJK KR" w:hAnsi="Noto Sans CJK KR" w:eastAsia="Noto Sans CJK KR" w:cs="Noto Sans CJK KR"/>
          <w:b w:val="0"/>
          <w:i w:val="0"/>
          <w:color w:val="17212A"/>
          <w:sz w:val="19"/>
        </w:rPr>
        <w:t>계급별 진급과 경력개발 경로를 확인할 수 있는 성별 분리 자료와 평가지표가 있는가?</w:t>
      </w:r>
    </w:p>
    <w:p>
      <w:pPr>
        <w:pStyle w:val="ListBullet"/>
        <w:spacing w:after="60" w:line="259" w:lineRule="auto"/>
        <w:ind w:left="317" w:hanging="202"/>
      </w:pPr>
      <w:r>
        <w:rPr>
          <w:rFonts w:ascii="Noto Sans CJK KR" w:hAnsi="Noto Sans CJK KR" w:eastAsia="Noto Sans CJK KR" w:cs="Noto Sans CJK KR"/>
          <w:b w:val="0"/>
          <w:i w:val="0"/>
          <w:color w:val="17212A"/>
          <w:sz w:val="19"/>
        </w:rPr>
        <w:t>정책 목표와 실제 이행·성과를 구분해 볼 수 있도록 담당 기관과 자료 공개 주기가 제시되는가?</w:t>
      </w:r>
    </w:p>
    <w:p>
      <w:pPr>
        <w:pStyle w:val="Heading1"/>
      </w:pPr>
      <w:r>
        <w:t>2 선행연구와 분석 관점</w:t>
      </w:r>
    </w:p>
    <w:p>
      <w:pPr>
        <w:spacing w:after="100" w:line="269" w:lineRule="auto"/>
      </w:pPr>
      <w:r>
        <w:rPr>
          <w:rFonts w:ascii="Noto Sans CJK KR" w:hAnsi="Noto Sans CJK KR" w:eastAsia="Noto Sans CJK KR" w:cs="Noto Sans CJK KR"/>
          <w:b w:val="0"/>
          <w:i w:val="0"/>
          <w:color w:val="17212A"/>
          <w:sz w:val="20"/>
        </w:rPr>
        <w:t>정책 집행, 군 경력 경로, 성별 직무 접근을 세 가지 분석 관점으로 삼는다. 이 관점은 공개자료의 내용을 분류하기 위한 틀이며, 문서 분석만으로 정책 효과나 차별의 원인을 확정하는 근거로 사용하지 않는다.</w:t>
      </w:r>
    </w:p>
    <w:p>
      <w:pPr>
        <w:pStyle w:val="ListBullet"/>
        <w:spacing w:after="60" w:line="259" w:lineRule="auto"/>
        <w:ind w:left="317" w:hanging="202"/>
      </w:pPr>
      <w:r>
        <w:rPr>
          <w:rFonts w:ascii="Noto Sans CJK KR" w:hAnsi="Noto Sans CJK KR" w:eastAsia="Noto Sans CJK KR" w:cs="Noto Sans CJK KR"/>
          <w:b w:val="0"/>
          <w:i w:val="0"/>
          <w:color w:val="17212A"/>
          <w:sz w:val="19"/>
        </w:rPr>
        <w:t>정책 집행 관점: 정책 목표, 대상, 담당 주체, 실행 수단, 점검·평가 방식이 연결되어 있는지 본다.</w:t>
      </w:r>
    </w:p>
    <w:p>
      <w:pPr>
        <w:pStyle w:val="ListBullet"/>
        <w:spacing w:after="60" w:line="259" w:lineRule="auto"/>
        <w:ind w:left="317" w:hanging="202"/>
      </w:pPr>
      <w:r>
        <w:rPr>
          <w:rFonts w:ascii="Noto Sans CJK KR" w:hAnsi="Noto Sans CJK KR" w:eastAsia="Noto Sans CJK KR" w:cs="Noto Sans CJK KR"/>
          <w:b w:val="0"/>
          <w:i w:val="0"/>
          <w:color w:val="17212A"/>
          <w:sz w:val="19"/>
        </w:rPr>
        <w:t>경력 경로 관점: 지원·선발 → 직무 배치 → 교육·자격 → 진급의 연결과 단계별 공개 지표를 확인한다.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성별 직무 접근 관점: 여성의 군 진입 가능 직무, 교육·보직 기회와 통계 공개 수준을 살피되, 각국의 군 구조와 분류 차이를 기록한다.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선행연구 검색어: “여군 인사정책”, “여성 군인 직무 배치”, “군 경력개발·진급”, “women in military recruitment”, “career progression”, “occupational assignment”. 검색식·기간·선정 기준을 문헌 기록표에 남긴다.</w:t>
      </w:r>
    </w:p>
    <w:p>
      <w:pPr>
        <w:pStyle w:val="Heading1"/>
      </w:pPr>
      <w:r>
        <w:t>3 연구 범위와 비교 대상</w:t>
      </w:r>
    </w:p>
    <w:tbl>
      <w:tblPr>
        <w:tblW w:type="auto" w:w="0"/>
        <w:jc w:val="center"/>
        <w:tblLayout w:type="fixed"/>
        <w:tblLook w:firstColumn="1" w:firstRow="1" w:lastColumn="0" w:lastRow="0" w:noHBand="0" w:noVBand="1" w:val="04A0"/>
        <w:tblBorders>
          <w:top w:val="single" w:sz="5" w:color="D5DDE2"/>
          <w:left w:val="single" w:sz="5" w:color="D5DDE2"/>
          <w:bottom w:val="single" w:sz="5" w:color="D5DDE2"/>
          <w:right w:val="single" w:sz="5" w:color="D5DDE2"/>
          <w:insideH w:val="single" w:sz="5" w:color="D5DDE2"/>
          <w:insideV w:val="single" w:sz="5" w:color="D5DDE2"/>
        </w:tblBorders>
      </w:tblPr>
      <w:tblGrid>
        <w:gridCol w:w="5083"/>
        <w:gridCol w:w="5083"/>
      </w:tblGrid>
      <w:tr>
        <w:trPr>
          <w:tblHeader w:val="true"/>
        </w:trPr>
        <w:tc>
          <w:tcPr>
            <w:tcW w:type="dxa" w:w="180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구분</w:t>
            </w:r>
          </w:p>
        </w:tc>
        <w:tc>
          <w:tcPr>
            <w:tcW w:type="dxa" w:w="8136"/>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연구 범위</w:t>
            </w:r>
          </w:p>
        </w:tc>
      </w:tr>
      <w:tr>
        <w:trPr>
          <w:cantSplit/>
        </w:trPr>
        <w:tc>
          <w:tcPr>
            <w:tcW w:type="dxa" w:w="180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주요 대상</w:t>
            </w:r>
          </w:p>
        </w:tc>
        <w:tc>
          <w:tcPr>
            <w:tcW w:type="dxa" w:w="813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현역 여성 장교와 부사관. 계급·군종을 구분하고, 예비군 자료는 국가별 공식 정의가 확인될 때 별도 보충한다.</w:t>
            </w:r>
          </w:p>
        </w:tc>
      </w:tr>
      <w:tr>
        <w:trPr>
          <w:cantSplit/>
        </w:trPr>
        <w:tc>
          <w:tcPr>
            <w:tcW w:type="dxa" w:w="180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핵심 범위</w:t>
            </w:r>
          </w:p>
        </w:tc>
        <w:tc>
          <w:tcPr>
            <w:tcW w:type="dxa" w:w="813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지원·선발, 직무 진입·배치, 교육·자격 기회, 진급·경력개발 정책.</w:t>
            </w:r>
          </w:p>
        </w:tc>
      </w:tr>
      <w:tr>
        <w:trPr>
          <w:cantSplit/>
        </w:trPr>
        <w:tc>
          <w:tcPr>
            <w:tcW w:type="dxa" w:w="180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보조 맥락</w:t>
            </w:r>
          </w:p>
        </w:tc>
        <w:tc>
          <w:tcPr>
            <w:tcW w:type="dxa" w:w="813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복무 유지·전역, 근무 여건과 지원 제도는 핵심 성과가 아니라 경력 경로의 맥락으로 기록한다.</w:t>
            </w:r>
          </w:p>
        </w:tc>
      </w:tr>
      <w:tr>
        <w:trPr>
          <w:cantSplit/>
        </w:trPr>
        <w:tc>
          <w:tcPr>
            <w:tcW w:type="dxa" w:w="180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시기</w:t>
            </w:r>
          </w:p>
        </w:tc>
        <w:tc>
          <w:tcPr>
            <w:tcW w:type="dxa" w:w="813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정책 변화는 2016~2025년을 중심으로 검토하고, 2026년 9월 30일까지 공개된 최신 통계를 보충한다.</w:t>
            </w:r>
          </w:p>
        </w:tc>
      </w:tr>
      <w:tr>
        <w:trPr>
          <w:cantSplit/>
        </w:trPr>
        <w:tc>
          <w:tcPr>
            <w:tcW w:type="dxa" w:w="180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제외 범위</w:t>
            </w:r>
          </w:p>
        </w:tc>
        <w:tc>
          <w:tcPr>
            <w:tcW w:type="dxa" w:w="813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민간 국방인력과 병역 의무복무자는 1차 비교에서 제외한다. 비공개 인사·작전자료를 사용하지 않으며 인터뷰·설문은 실시하지 않는다.</w:t>
            </w:r>
          </w:p>
        </w:tc>
      </w:tr>
    </w:tbl>
    <w:p>
      <w:pPr>
        <w:spacing w:after="20"/>
      </w:pPr>
    </w:p>
    <w:tbl>
      <w:tblPr>
        <w:tblW w:type="auto" w:w="0"/>
        <w:jc w:val="center"/>
        <w:tblLayout w:type="fixed"/>
        <w:tblLook w:firstColumn="1" w:firstRow="1" w:lastColumn="0" w:lastRow="0" w:noHBand="0" w:noVBand="1" w:val="04A0"/>
        <w:tblBorders>
          <w:top w:val="single" w:sz="5" w:color="D5DDE2"/>
          <w:left w:val="single" w:sz="5" w:color="D5DDE2"/>
          <w:bottom w:val="single" w:sz="5" w:color="D5DDE2"/>
          <w:right w:val="single" w:sz="5" w:color="D5DDE2"/>
          <w:insideH w:val="single" w:sz="5" w:color="D5DDE2"/>
          <w:insideV w:val="single" w:sz="5" w:color="D5DDE2"/>
        </w:tblBorders>
      </w:tblPr>
      <w:tblGrid>
        <w:gridCol w:w="3389"/>
        <w:gridCol w:w="3389"/>
        <w:gridCol w:w="3389"/>
      </w:tblGrid>
      <w:tr>
        <w:trPr>
          <w:tblHeader w:val="true"/>
        </w:trPr>
        <w:tc>
          <w:tcPr>
            <w:tcW w:type="dxa" w:w="1008"/>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국가</w:t>
            </w:r>
          </w:p>
        </w:tc>
        <w:tc>
          <w:tcPr>
            <w:tcW w:type="dxa" w:w="4968"/>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사례 선정 이유와 기준 자료</w:t>
            </w:r>
          </w:p>
        </w:tc>
        <w:tc>
          <w:tcPr>
            <w:tcW w:type="dxa" w:w="396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비교할 때의 주의점</w:t>
            </w:r>
          </w:p>
        </w:tc>
      </w:tr>
      <w:tr>
        <w:trPr>
          <w:cantSplit/>
        </w:trPr>
        <w:tc>
          <w:tcPr>
            <w:tcW w:type="dxa" w:w="1008"/>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한국</w:t>
            </w:r>
          </w:p>
        </w:tc>
        <w:tc>
          <w:tcPr>
            <w:tcW w:type="dxa" w:w="4968"/>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연구의 정책 대상국이다. 국방부 정책계획·통계연보·관련 법령을 기준선으로 삼는다. [1–3]</w:t>
            </w:r>
          </w:p>
        </w:tc>
        <w:tc>
          <w:tcPr>
            <w:tcW w:type="dxa" w:w="396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징병제와 직업군 인력 운영을 구분하고, 계획 목표와 연도별 실적·실제 인원 통계를 분리한다.</w:t>
            </w:r>
          </w:p>
        </w:tc>
      </w:tr>
      <w:tr>
        <w:trPr>
          <w:cantSplit/>
        </w:trPr>
        <w:tc>
          <w:tcPr>
            <w:tcW w:type="dxa" w:w="1008"/>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캐나다</w:t>
            </w:r>
          </w:p>
        </w:tc>
        <w:tc>
          <w:tcPr>
            <w:tcW w:type="dxa" w:w="4968"/>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여성 인력 통계와 모집·직무분석·진급 관련 공개 계획을 확인할 수 있어 정책·자료 구조를 비교한다. [4–5]</w:t>
            </w:r>
          </w:p>
        </w:tc>
        <w:tc>
          <w:tcPr>
            <w:tcW w:type="dxa" w:w="396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정규군·예비군, 계급·군종 구분과 한국의 분모가 맞는지 먼저 확인한다.</w:t>
            </w:r>
          </w:p>
        </w:tc>
      </w:tr>
      <w:tr>
        <w:trPr>
          <w:cantSplit/>
        </w:trPr>
        <w:tc>
          <w:tcPr>
            <w:tcW w:type="dxa" w:w="1008"/>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영국</w:t>
            </w:r>
          </w:p>
        </w:tc>
        <w:tc>
          <w:tcPr>
            <w:tcW w:type="dxa" w:w="4968"/>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군종·계급별 구성과 여성 입대·이탈 지표를 함께 제시하는 공개 통계를 비교 자료로 삼는다. [6]</w:t>
            </w:r>
          </w:p>
        </w:tc>
        <w:tc>
          <w:tcPr>
            <w:tcW w:type="dxa" w:w="396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정규군·예비군 및 통계 기준일을 분리하고, 영국군 분류를 한국 분류로 임의 환산하지 않는다.</w:t>
            </w:r>
          </w:p>
        </w:tc>
      </w:tr>
      <w:tr>
        <w:trPr>
          <w:cantSplit/>
        </w:trPr>
        <w:tc>
          <w:tcPr>
            <w:tcW w:type="dxa" w:w="1008"/>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호주</w:t>
            </w:r>
          </w:p>
        </w:tc>
        <w:tc>
          <w:tcPr>
            <w:tcW w:type="dxa" w:w="4968"/>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여성군 연례보고서와 보충 통계표를 활용해 정책과 지표 공개 방식을 살핀다. [7]</w:t>
            </w:r>
          </w:p>
        </w:tc>
        <w:tc>
          <w:tcPr>
            <w:tcW w:type="dxa" w:w="396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회계연도와 한국의 역년 통계가 다를 수 있으므로 기준일과 정의를 병기한다.</w:t>
            </w:r>
          </w:p>
        </w:tc>
      </w:tr>
    </w:tbl>
    <w:p>
      <w:pPr>
        <w:spacing w:after="20"/>
      </w:pPr>
    </w:p>
    <w:p>
      <w:pPr>
        <w:spacing w:after="80" w:line="269" w:lineRule="auto"/>
      </w:pPr>
      <w:r>
        <w:rPr>
          <w:rFonts w:ascii="Noto Sans CJK KR" w:hAnsi="Noto Sans CJK KR" w:eastAsia="Noto Sans CJK KR" w:cs="Noto Sans CJK KR"/>
          <w:b w:val="0"/>
          <w:i w:val="0"/>
          <w:color w:val="52616C"/>
          <w:sz w:val="18"/>
        </w:rPr>
        <w:t>비교 국가는 공개 정책자료와 성별 분리 통계를 이용할 수 있는 사례로 선정한다. 네 나라를 대표성 있는 표본으로 간주하거나, 자료가 더 많은 국가를 더 우수하다고 평가하지 않는다.</w:t>
      </w:r>
    </w:p>
    <w:p>
      <w:pPr>
        <w:pStyle w:val="Heading1"/>
      </w:pPr>
      <w:r>
        <w:t>4 분석 틀과 자료 수집 항목</w:t>
      </w:r>
    </w:p>
    <w:p>
      <w:pPr>
        <w:spacing w:after="100" w:line="269" w:lineRule="auto"/>
      </w:pPr>
      <w:r>
        <w:rPr>
          <w:rFonts w:ascii="Noto Sans CJK KR" w:hAnsi="Noto Sans CJK KR" w:eastAsia="Noto Sans CJK KR" w:cs="Noto Sans CJK KR"/>
          <w:b w:val="0"/>
          <w:i w:val="0"/>
          <w:color w:val="17212A"/>
          <w:sz w:val="20"/>
        </w:rPr>
        <w:t>각 정책을 “정책 목표–대상–담당 주체–실행수단–공개 지표–확인된 이행 정보”로 기록한다. 항목별 근거 상태는 정책 존재, 목표 제시, 이행 자료 확인, 결과 지표 확인, 자료 미확인으로 구분하고 임의 점수는 부여하지 않는다.</w:t>
      </w:r>
    </w:p>
    <w:tbl>
      <w:tblPr>
        <w:tblW w:type="auto" w:w="0"/>
        <w:jc w:val="center"/>
        <w:tblLayout w:type="fixed"/>
        <w:tblLook w:firstColumn="1" w:firstRow="1" w:lastColumn="0" w:lastRow="0" w:noHBand="0" w:noVBand="1" w:val="04A0"/>
        <w:tblBorders>
          <w:top w:val="single" w:sz="5" w:color="D5DDE2"/>
          <w:left w:val="single" w:sz="5" w:color="D5DDE2"/>
          <w:bottom w:val="single" w:sz="5" w:color="D5DDE2"/>
          <w:right w:val="single" w:sz="5" w:color="D5DDE2"/>
          <w:insideH w:val="single" w:sz="5" w:color="D5DDE2"/>
          <w:insideV w:val="single" w:sz="5" w:color="D5DDE2"/>
        </w:tblBorders>
      </w:tblPr>
      <w:tblGrid>
        <w:gridCol w:w="3389"/>
        <w:gridCol w:w="3389"/>
        <w:gridCol w:w="3389"/>
      </w:tblGrid>
      <w:tr>
        <w:trPr>
          <w:tblHeader w:val="true"/>
        </w:trPr>
        <w:tc>
          <w:tcPr>
            <w:tcW w:type="dxa" w:w="1584"/>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분석 영역</w:t>
            </w:r>
          </w:p>
        </w:tc>
        <w:tc>
          <w:tcPr>
            <w:tcW w:type="dxa" w:w="5112"/>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확인할 질문과 지표</w:t>
            </w:r>
          </w:p>
        </w:tc>
        <w:tc>
          <w:tcPr>
            <w:tcW w:type="dxa" w:w="324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기록 원칙</w:t>
            </w:r>
          </w:p>
        </w:tc>
      </w:tr>
      <w:tr>
        <w:trPr>
          <w:cantSplit/>
        </w:trPr>
        <w:tc>
          <w:tcPr>
            <w:tcW w:type="dxa" w:w="1584"/>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지원·선발</w:t>
            </w:r>
          </w:p>
        </w:tc>
        <w:tc>
          <w:tcPr>
            <w:tcW w:type="dxa" w:w="5112"/>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모집 경로·직무 자격·선발 단계와 기준. 지원·선발·합격·입교 수치가 공개되면 모집단과 분모를 기록한다.</w:t>
            </w:r>
          </w:p>
        </w:tc>
        <w:tc>
          <w:tcPr>
            <w:tcW w:type="dxa" w:w="324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모집 목표, 지원 결과, 실제 임관·입교 인원을 구분한다.</w:t>
            </w:r>
          </w:p>
        </w:tc>
      </w:tr>
      <w:tr>
        <w:trPr>
          <w:cantSplit/>
        </w:trPr>
        <w:tc>
          <w:tcPr>
            <w:tcW w:type="dxa" w:w="1584"/>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직무 진입·교육</w:t>
            </w:r>
          </w:p>
        </w:tc>
        <w:tc>
          <w:tcPr>
            <w:tcW w:type="dxa" w:w="5112"/>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여성에게 열린 직무·병과 범위, 배치 기준, 교육·자격 취득 기회와 참여 자료.</w:t>
            </w:r>
          </w:p>
        </w:tc>
        <w:tc>
          <w:tcPr>
            <w:tcW w:type="dxa" w:w="324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전체 여성 비율과 특정 직무의 진입 가능성은 서로 다른 지표로 관리한다.</w:t>
            </w:r>
          </w:p>
        </w:tc>
      </w:tr>
      <w:tr>
        <w:trPr>
          <w:cantSplit/>
        </w:trPr>
        <w:tc>
          <w:tcPr>
            <w:tcW w:type="dxa" w:w="1584"/>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진급·경력개발</w:t>
            </w:r>
          </w:p>
        </w:tc>
        <w:tc>
          <w:tcPr>
            <w:tcW w:type="dxa" w:w="5112"/>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계급별 구성, 진급 심사 기준, 보직 경험·전문성 개발 기회와 관련 공개 지표.</w:t>
            </w:r>
          </w:p>
        </w:tc>
        <w:tc>
          <w:tcPr>
            <w:tcW w:type="dxa" w:w="324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계급·군종·직무별 대상 인원과 기준 연도를 함께 적는다.</w:t>
            </w:r>
          </w:p>
        </w:tc>
      </w:tr>
      <w:tr>
        <w:trPr>
          <w:cantSplit/>
        </w:trPr>
        <w:tc>
          <w:tcPr>
            <w:tcW w:type="dxa" w:w="1584"/>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복무 여건·책임</w:t>
            </w:r>
          </w:p>
        </w:tc>
        <w:tc>
          <w:tcPr>
            <w:tcW w:type="dxa" w:w="5112"/>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복무 유지·전역, 근무 여건과 지원제도는 보조 맥락으로 보고 담당기관·평가·공개 주기를 기록한다.</w:t>
            </w:r>
          </w:p>
        </w:tc>
        <w:tc>
          <w:tcPr>
            <w:tcW w:type="dxa" w:w="324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직무 진입·경력개발의 직접 성과와 혼합하지 않고, 자료 부재를 명시한다.</w:t>
            </w:r>
          </w:p>
        </w:tc>
      </w:tr>
    </w:tbl>
    <w:p>
      <w:pPr>
        <w:spacing w:after="20"/>
      </w:pPr>
    </w:p>
    <w:p>
      <w:pPr>
        <w:pStyle w:val="Heading1"/>
      </w:pPr>
      <w:r>
        <w:t>5 연구 방법과 근거 관리</w:t>
      </w:r>
    </w:p>
    <w:p>
      <w:pPr>
        <w:spacing w:after="100" w:line="269" w:lineRule="auto"/>
      </w:pPr>
      <w:r>
        <w:rPr>
          <w:rFonts w:ascii="Noto Sans CJK KR" w:hAnsi="Noto Sans CJK KR" w:eastAsia="Noto Sans CJK KR" w:cs="Noto Sans CJK KR"/>
          <w:b w:val="0"/>
          <w:i w:val="0"/>
          <w:color w:val="17212A"/>
          <w:sz w:val="20"/>
        </w:rPr>
        <w:t>공개된 1차 정책자료 분석과 기술통계 검토를 병행한다. 정책 문서가 밝히는 목표와 실제 공개된 이행·결과 자료를 구분해 읽고, 통계 변화만으로 정책 효과를 설명하지 않는다.</w:t>
      </w:r>
    </w:p>
    <w:p>
      <w:pPr>
        <w:pStyle w:val="ListBullet"/>
        <w:spacing w:after="60" w:line="259" w:lineRule="auto"/>
        <w:ind w:left="317" w:hanging="202"/>
      </w:pPr>
      <w:r>
        <w:rPr>
          <w:rFonts w:ascii="Noto Sans CJK KR" w:hAnsi="Noto Sans CJK KR" w:eastAsia="Noto Sans CJK KR" w:cs="Noto Sans CJK KR"/>
          <w:b w:val="0"/>
          <w:i w:val="0"/>
          <w:color w:val="17212A"/>
          <w:sz w:val="19"/>
        </w:rPr>
        <w:t>자료 우선순위: 법령·정부 정책계획 → 국방부·각 군 공식 통계와 연례보고서 → 감사·인권·평가기관의 공개 자료 → 학술 선행연구.</w:t>
      </w:r>
    </w:p>
    <w:p>
      <w:pPr>
        <w:pStyle w:val="ListBullet"/>
        <w:spacing w:after="60" w:line="259" w:lineRule="auto"/>
        <w:ind w:left="317" w:hanging="202"/>
      </w:pPr>
      <w:r>
        <w:rPr>
          <w:rFonts w:ascii="Noto Sans CJK KR" w:hAnsi="Noto Sans CJK KR" w:eastAsia="Noto Sans CJK KR" w:cs="Noto Sans CJK KR"/>
          <w:b w:val="0"/>
          <w:i w:val="0"/>
          <w:color w:val="17212A"/>
          <w:sz w:val="19"/>
        </w:rPr>
        <w:t>자료 기록: 기관, 문서명, 발행일, 기준일, 대상 인력, 분모·분자 정의, 계급·군종·복무 형태, 페이지·표 번호, 원문 링크와 확인일을 기록한다.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선행연구 절차: 검색 데이터베이스·검색어·검색일·포함 및 제외 기준을 기록하고, 주제별로 연구대상·방법·핵심 결과·한계를 표로 정리한다.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비교 가능성: 정규군·예비군, 장교·부사관, 군종, 회계연도·역년, 용어 정의가 다르면 원자료 값을 그대로 보존하고 “비교 제한” 또는 “자료 미확인”으로 표시한다.</w:t>
      </w:r>
    </w:p>
    <w:p>
      <w:pPr>
        <w:pStyle w:val="ListBullet"/>
        <w:spacing w:after="60" w:line="259" w:lineRule="auto"/>
        <w:ind w:left="317" w:hanging="202"/>
      </w:pPr>
      <w:r>
        <w:rPr>
          <w:rFonts w:ascii="Noto Sans CJK KR" w:hAnsi="Noto Sans CJK KR" w:eastAsia="Noto Sans CJK KR" w:cs="Noto Sans CJK KR"/>
          <w:b w:val="0"/>
          <w:i w:val="0"/>
          <w:color w:val="17212A"/>
          <w:sz w:val="19"/>
        </w:rPr>
        <w:t>연구 윤리: 공개자료 분석으로 시작한다. 향후 인터뷰나 설문을 추가할 때는 대학 연구윤리 심의, 참여자 동의와 정보보호 절차를 먼저 확인한다.</w:t>
      </w:r>
    </w:p>
    <w:p>
      <w:pPr>
        <w:pStyle w:val="Heading1"/>
      </w:pPr>
      <w:r>
        <w:t>6 6주 실행 일정</w:t>
      </w:r>
    </w:p>
    <w:tbl>
      <w:tblPr>
        <w:tblW w:type="auto" w:w="0"/>
        <w:jc w:val="center"/>
        <w:tblLayout w:type="fixed"/>
        <w:tblLook w:firstColumn="1" w:firstRow="1" w:lastColumn="0" w:lastRow="0" w:noHBand="0" w:noVBand="1" w:val="04A0"/>
        <w:tblBorders>
          <w:top w:val="single" w:sz="5" w:color="D5DDE2"/>
          <w:left w:val="single" w:sz="5" w:color="D5DDE2"/>
          <w:bottom w:val="single" w:sz="5" w:color="D5DDE2"/>
          <w:right w:val="single" w:sz="5" w:color="D5DDE2"/>
          <w:insideH w:val="single" w:sz="5" w:color="D5DDE2"/>
          <w:insideV w:val="single" w:sz="5" w:color="D5DDE2"/>
        </w:tblBorders>
      </w:tblPr>
      <w:tblGrid>
        <w:gridCol w:w="3389"/>
        <w:gridCol w:w="3389"/>
        <w:gridCol w:w="3389"/>
      </w:tblGrid>
      <w:tr>
        <w:trPr>
          <w:tblHeader w:val="true"/>
        </w:trPr>
        <w:tc>
          <w:tcPr>
            <w:tcW w:type="dxa" w:w="144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기간</w:t>
            </w:r>
          </w:p>
        </w:tc>
        <w:tc>
          <w:tcPr>
            <w:tcW w:type="dxa" w:w="5616"/>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작업</w:t>
            </w:r>
          </w:p>
        </w:tc>
        <w:tc>
          <w:tcPr>
            <w:tcW w:type="dxa" w:w="288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주간 산출물</w:t>
            </w:r>
          </w:p>
        </w:tc>
      </w:tr>
      <w:tr>
        <w:trPr>
          <w:cantSplit/>
        </w:trPr>
        <w:tc>
          <w:tcPr>
            <w:tcW w:type="dxa" w:w="144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10.01–10.07</w:t>
            </w:r>
          </w:p>
        </w:tc>
        <w:tc>
          <w:tcPr>
            <w:tcW w:type="dxa" w:w="56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연구 질문과 대상 범위를 고정하고 사례 선정 논리, 문헌 검색식, 지표·자료 기록 양식을 만든다.</w:t>
            </w:r>
          </w:p>
        </w:tc>
        <w:tc>
          <w:tcPr>
            <w:tcW w:type="dxa" w:w="288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설계표, 검색 기록표, 지표 초안</w:t>
            </w:r>
          </w:p>
        </w:tc>
      </w:tr>
      <w:tr>
        <w:trPr>
          <w:cantSplit/>
        </w:trPr>
        <w:tc>
          <w:tcPr>
            <w:tcW w:type="dxa" w:w="144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10.08–10.14</w:t>
            </w:r>
          </w:p>
        </w:tc>
        <w:tc>
          <w:tcPr>
            <w:tcW w:type="dxa" w:w="561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선행연구를 주제별로 정리하고 한국의 법령·정책계획·국방통계 기준 자료를 추출한다.</w:t>
            </w:r>
          </w:p>
        </w:tc>
        <w:tc>
          <w:tcPr>
            <w:tcW w:type="dxa" w:w="288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문헌 매트릭스, 한국 자료대장</w:t>
            </w:r>
          </w:p>
        </w:tc>
      </w:tr>
      <w:tr>
        <w:trPr>
          <w:cantSplit/>
        </w:trPr>
        <w:tc>
          <w:tcPr>
            <w:tcW w:type="dxa" w:w="144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10.15–10.21</w:t>
            </w:r>
          </w:p>
        </w:tc>
        <w:tc>
          <w:tcPr>
            <w:tcW w:type="dxa" w:w="56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한국의 모집·직무·교육·진급 관련 공개 지표와 자료 공백을 확인한다.</w:t>
            </w:r>
          </w:p>
        </w:tc>
        <w:tc>
          <w:tcPr>
            <w:tcW w:type="dxa" w:w="288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한국 기준선·자료 공백표</w:t>
            </w:r>
          </w:p>
        </w:tc>
      </w:tr>
      <w:tr>
        <w:trPr>
          <w:cantSplit/>
        </w:trPr>
        <w:tc>
          <w:tcPr>
            <w:tcW w:type="dxa" w:w="144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10.22–10.28</w:t>
            </w:r>
          </w:p>
        </w:tc>
        <w:tc>
          <w:tcPr>
            <w:tcW w:type="dxa" w:w="561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캐나다와 영국의 정책계획·통계 정의·직무 및 경력 지표를 기록한다.</w:t>
            </w:r>
          </w:p>
        </w:tc>
        <w:tc>
          <w:tcPr>
            <w:tcW w:type="dxa" w:w="288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캐나다·영국 비교 시트</w:t>
            </w:r>
          </w:p>
        </w:tc>
      </w:tr>
      <w:tr>
        <w:trPr>
          <w:cantSplit/>
        </w:trPr>
        <w:tc>
          <w:tcPr>
            <w:tcW w:type="dxa" w:w="144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10.29–11.04</w:t>
            </w:r>
          </w:p>
        </w:tc>
        <w:tc>
          <w:tcPr>
            <w:tcW w:type="dxa" w:w="56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호주 자료를 확인하고 네 나라 공통·비교 제한 지표를 코딩한다.</w:t>
            </w:r>
          </w:p>
        </w:tc>
        <w:tc>
          <w:tcPr>
            <w:tcW w:type="dxa" w:w="288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6"/>
              </w:rPr>
              <w:t>호주 자료 시트, 비교표 초안</w:t>
            </w:r>
          </w:p>
        </w:tc>
      </w:tr>
      <w:tr>
        <w:trPr>
          <w:cantSplit/>
        </w:trPr>
        <w:tc>
          <w:tcPr>
            <w:tcW w:type="dxa" w:w="144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11.05–11.11</w:t>
            </w:r>
          </w:p>
        </w:tc>
        <w:tc>
          <w:tcPr>
            <w:tcW w:type="dxa" w:w="561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정책 설계와 공개자료를 교차 검토하고 수치·인용·해석을 원문과 대조한다.</w:t>
            </w:r>
          </w:p>
        </w:tc>
        <w:tc>
          <w:tcPr>
            <w:tcW w:type="dxa" w:w="288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6"/>
              </w:rPr>
              <w:t>8~12쪽 초기 메모, 1쪽 공개 요약</w:t>
            </w:r>
          </w:p>
        </w:tc>
      </w:tr>
    </w:tbl>
    <w:p>
      <w:pPr>
        <w:spacing w:after="20"/>
      </w:pPr>
    </w:p>
    <w:p>
      <w:pPr>
        <w:pStyle w:val="Heading1"/>
      </w:pPr>
      <w:r>
        <w:t>7 품질 기준과 한계</w:t>
      </w:r>
    </w:p>
    <w:p>
      <w:pPr>
        <w:pStyle w:val="ListBullet"/>
        <w:spacing w:after="60" w:line="259" w:lineRule="auto"/>
        <w:ind w:left="317" w:hanging="202"/>
      </w:pPr>
      <w:r>
        <w:rPr>
          <w:rFonts w:ascii="Noto Sans CJK KR" w:hAnsi="Noto Sans CJK KR" w:eastAsia="Noto Sans CJK KR" w:cs="Noto Sans CJK KR"/>
          <w:b w:val="0"/>
          <w:i w:val="0"/>
          <w:color w:val="17212A"/>
          <w:sz w:val="19"/>
        </w:rPr>
        <w:t>정책 목표, 실행 결과와 결과 지표를 나눠 기록하며, 확인되지 않은 수치나 관계를 추정하지 않는다.</w:t>
      </w:r>
    </w:p>
    <w:p>
      <w:pPr>
        <w:pStyle w:val="ListBullet"/>
        <w:spacing w:after="60" w:line="259" w:lineRule="auto"/>
        <w:ind w:left="317" w:hanging="202"/>
      </w:pPr>
      <w:r>
        <w:rPr>
          <w:rFonts w:ascii="Noto Sans CJK KR" w:hAnsi="Noto Sans CJK KR" w:eastAsia="Noto Sans CJK KR" w:cs="Noto Sans CJK KR"/>
          <w:b w:val="0"/>
          <w:i w:val="0"/>
          <w:color w:val="17212A"/>
          <w:sz w:val="19"/>
        </w:rPr>
        <w:t>비교표에는 원자료의 기준일·대상·분모·용어 정의를 병기한다. 비교가 성립하지 않는 값은 순위나 단일 점수로 바꾸지 않는다.</w:t>
      </w:r>
    </w:p>
    <w:p>
      <w:pPr>
        <w:pStyle w:val="ListBullet"/>
        <w:spacing w:after="60" w:line="259" w:lineRule="auto"/>
        <w:ind w:left="317" w:hanging="202"/>
      </w:pPr>
      <w:r>
        <w:rPr>
          <w:rFonts w:ascii="Noto Sans CJK KR" w:hAnsi="Noto Sans CJK KR" w:eastAsia="Noto Sans CJK KR" w:cs="Noto Sans CJK KR"/>
          <w:b w:val="0"/>
          <w:i w:val="0"/>
          <w:color w:val="17212A"/>
          <w:sz w:val="19"/>
        </w:rPr>
        <w:t>병역제도·군 구조·직무 분류·계급 체계 차이 때문에 제도의 직접 이식이나 효과 비교에는 한계가 있다.</w:t>
      </w:r>
    </w:p>
    <w:p>
      <w:pPr>
        <w:pStyle w:val="ListBullet"/>
        <w:spacing w:after="60" w:line="259" w:lineRule="auto"/>
        <w:ind w:left="317" w:hanging="202"/>
      </w:pPr>
      <w:r>
        <w:rPr>
          <w:rFonts w:ascii="Noto Sans CJK KR" w:hAnsi="Noto Sans CJK KR" w:eastAsia="Noto Sans CJK KR" w:cs="Noto Sans CJK KR"/>
          <w:b w:val="0"/>
          <w:i w:val="0"/>
          <w:color w:val="17212A"/>
          <w:sz w:val="19"/>
        </w:rPr>
        <w:t>공개자료만으로 개인의 직무 경험, 조직문화의 체감이나 비공개 인사 결정의 원인을 설명할 수 없다.</w:t>
      </w:r>
    </w:p>
    <w:p>
      <w:pPr>
        <w:pStyle w:val="ListBullet"/>
        <w:spacing w:after="60" w:line="259" w:lineRule="auto"/>
        <w:ind w:left="317" w:hanging="202"/>
      </w:pPr>
      <w:r>
        <w:rPr>
          <w:rFonts w:ascii="Noto Sans CJK KR" w:hAnsi="Noto Sans CJK KR" w:eastAsia="Noto Sans CJK KR" w:cs="Noto Sans CJK KR"/>
          <w:b w:val="0"/>
          <w:i w:val="0"/>
          <w:color w:val="17212A"/>
          <w:sz w:val="19"/>
        </w:rPr>
        <w:t>연구메모와 홈페이지 공개문에는 확인된 사실, 연구자의 해석, 후속 질문을 구분한다. 공식 기관의 견해로 오해되지 않도록 독립 연구 프로젝트임을 표시한다.</w:t>
      </w:r>
    </w:p>
    <w:p>
      <w:pPr>
        <w:pStyle w:val="Heading1"/>
      </w:pPr>
      <w:r>
        <w:t>8 기대 산출물</w:t>
      </w:r>
    </w:p>
    <w:tbl>
      <w:tblPr>
        <w:tblW w:type="auto" w:w="0"/>
        <w:jc w:val="center"/>
        <w:tblLayout w:type="fixed"/>
        <w:tblLook w:firstColumn="1" w:firstRow="1" w:lastColumn="0" w:lastRow="0" w:noHBand="0" w:noVBand="1" w:val="04A0"/>
        <w:tblBorders>
          <w:top w:val="single" w:sz="5" w:color="D5DDE2"/>
          <w:left w:val="single" w:sz="5" w:color="D5DDE2"/>
          <w:bottom w:val="single" w:sz="5" w:color="D5DDE2"/>
          <w:right w:val="single" w:sz="5" w:color="D5DDE2"/>
          <w:insideH w:val="single" w:sz="5" w:color="D5DDE2"/>
          <w:insideV w:val="single" w:sz="5" w:color="D5DDE2"/>
        </w:tblBorders>
      </w:tblPr>
      <w:tblGrid>
        <w:gridCol w:w="5083"/>
        <w:gridCol w:w="5083"/>
      </w:tblGrid>
      <w:tr>
        <w:trPr>
          <w:tblHeader w:val="true"/>
        </w:trPr>
        <w:tc>
          <w:tcPr>
            <w:tcW w:type="dxa" w:w="2016"/>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산출물</w:t>
            </w:r>
          </w:p>
        </w:tc>
        <w:tc>
          <w:tcPr>
            <w:tcW w:type="dxa" w:w="7920"/>
            <w:vAlign w:val="center"/>
            <w:shd w:fill="263B4A"/>
            <w:tcMar>
              <w:top w:w="115" w:type="dxa"/>
              <w:start w:w="115" w:type="dxa"/>
              <w:bottom w:w="115" w:type="dxa"/>
              <w:end w:w="115" w:type="dxa"/>
            </w:tcMar>
          </w:tcPr>
          <w:p>
            <w:pPr>
              <w:spacing w:after="0" w:line="252" w:lineRule="auto"/>
            </w:pPr>
            <w:r>
              <w:rPr>
                <w:rFonts w:ascii="Noto Sans CJK KR" w:hAnsi="Noto Sans CJK KR" w:eastAsia="Noto Sans CJK KR" w:cs="Noto Sans CJK KR"/>
                <w:b/>
                <w:i w:val="0"/>
                <w:color w:val="FFFFFF"/>
                <w:sz w:val="18"/>
              </w:rPr>
              <w:t>내용</w:t>
            </w:r>
          </w:p>
        </w:tc>
      </w:tr>
      <w:tr>
        <w:trPr>
          <w:cantSplit/>
        </w:trPr>
        <w:tc>
          <w:tcPr>
            <w:tcW w:type="dxa" w:w="20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선행연구 매트릭스</w:t>
            </w:r>
          </w:p>
        </w:tc>
        <w:tc>
          <w:tcPr>
            <w:tcW w:type="dxa" w:w="792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검색식·포함 기준·대상·연구방법·핵심 결과·한계를 주제별로 정리한 표.</w:t>
            </w:r>
          </w:p>
        </w:tc>
      </w:tr>
      <w:tr>
        <w:trPr>
          <w:cantSplit/>
        </w:trPr>
        <w:tc>
          <w:tcPr>
            <w:tcW w:type="dxa" w:w="201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자료 기록표</w:t>
            </w:r>
          </w:p>
        </w:tc>
        <w:tc>
          <w:tcPr>
            <w:tcW w:type="dxa" w:w="792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기관·문서·발행일·통계 기준일·대상·분모·지표·원문 링크를 관리하는 자료대장.</w:t>
            </w:r>
          </w:p>
        </w:tc>
      </w:tr>
      <w:tr>
        <w:trPr>
          <w:cantSplit/>
        </w:trPr>
        <w:tc>
          <w:tcPr>
            <w:tcW w:type="dxa" w:w="20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국가 비교 분석표</w:t>
            </w:r>
          </w:p>
        </w:tc>
        <w:tc>
          <w:tcPr>
            <w:tcW w:type="dxa" w:w="792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지원·선발, 직무·교육, 진급·경력개발, 복무 맥락과 책임 구조 비교.</w:t>
            </w:r>
          </w:p>
        </w:tc>
      </w:tr>
      <w:tr>
        <w:trPr>
          <w:cantSplit/>
        </w:trPr>
        <w:tc>
          <w:tcPr>
            <w:tcW w:type="dxa" w:w="2016"/>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초기 연구메모</w:t>
            </w:r>
          </w:p>
        </w:tc>
        <w:tc>
          <w:tcPr>
            <w:tcW w:type="dxa" w:w="7920"/>
            <w:vAlign w:val="center"/>
            <w:tcMar>
              <w:top w:w="95" w:type="dxa"/>
              <w:start w:w="105" w:type="dxa"/>
              <w:bottom w:w="95" w:type="dxa"/>
              <w:end w:w="105" w:type="dxa"/>
            </w:tcMar>
            <w:shd w:fill="F8FAFB"/>
          </w:tcPr>
          <w:p>
            <w:pPr>
              <w:spacing w:after="0" w:line="254" w:lineRule="auto"/>
            </w:pPr>
            <w:r>
              <w:rPr>
                <w:rFonts w:ascii="Noto Sans CJK KR" w:hAnsi="Noto Sans CJK KR" w:eastAsia="Noto Sans CJK KR" w:cs="Noto Sans CJK KR"/>
                <w:b w:val="0"/>
                <w:i w:val="0"/>
                <w:color w:val="17212A"/>
                <w:sz w:val="17"/>
              </w:rPr>
              <w:t>비교 가능성과 자료 한계를 명시한 8~12쪽 정책 연구 메모.</w:t>
            </w:r>
          </w:p>
        </w:tc>
      </w:tr>
      <w:tr>
        <w:trPr>
          <w:cantSplit/>
        </w:trPr>
        <w:tc>
          <w:tcPr>
            <w:tcW w:type="dxa" w:w="2016"/>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공개 요약 초안</w:t>
            </w:r>
          </w:p>
        </w:tc>
        <w:tc>
          <w:tcPr>
            <w:tcW w:type="dxa" w:w="7920"/>
            <w:vAlign w:val="center"/>
            <w:tcMar>
              <w:top w:w="95" w:type="dxa"/>
              <w:start w:w="105" w:type="dxa"/>
              <w:bottom w:w="95" w:type="dxa"/>
              <w:end w:w="105" w:type="dxa"/>
            </w:tcMar>
          </w:tcPr>
          <w:p>
            <w:pPr>
              <w:spacing w:after="0" w:line="254" w:lineRule="auto"/>
            </w:pPr>
            <w:r>
              <w:rPr>
                <w:rFonts w:ascii="Noto Sans CJK KR" w:hAnsi="Noto Sans CJK KR" w:eastAsia="Noto Sans CJK KR" w:cs="Noto Sans CJK KR"/>
                <w:b w:val="0"/>
                <w:i w:val="0"/>
                <w:color w:val="17212A"/>
                <w:sz w:val="17"/>
              </w:rPr>
              <w:t>검토된 사실·분석·후속 제안을 구분한 1쪽 홈페이지용 요약.</w:t>
            </w:r>
          </w:p>
        </w:tc>
      </w:tr>
    </w:tbl>
    <w:p>
      <w:pPr>
        <w:spacing w:after="20"/>
      </w:pPr>
    </w:p>
    <w:p>
      <w:pPr>
        <w:pStyle w:val="Heading1"/>
        <w:pageBreakBefore/>
      </w:pPr>
      <w:r>
        <w:t>공식 자료 목록</w:t>
      </w:r>
    </w:p>
    <w:p>
      <w:pPr>
        <w:keepNext/>
        <w:spacing w:before="20" w:after="0"/>
      </w:pPr>
      <w:r>
        <w:rPr>
          <w:rFonts w:ascii="Noto Sans CJK KR" w:hAnsi="Noto Sans CJK KR" w:eastAsia="Noto Sans CJK KR" w:cs="Noto Sans CJK KR"/>
          <w:b/>
          <w:i w:val="0"/>
          <w:color w:val="17212A"/>
          <w:sz w:val="18"/>
        </w:rPr>
        <w:t>[1] 국방부 2025년도 군인복무기본정책 시행계획</w:t>
      </w:r>
    </w:p>
    <w:p>
      <w:pPr>
        <w:spacing w:after="20" w:line="240" w:lineRule="auto"/>
        <w:ind w:left="259"/>
      </w:pPr>
      <w:r>
        <w:rPr>
          <w:rFonts w:ascii="Noto Sans CJK KR" w:hAnsi="Noto Sans CJK KR" w:eastAsia="Noto Sans CJK KR" w:cs="Noto Sans CJK KR"/>
          <w:b w:val="0"/>
          <w:i w:val="0"/>
          <w:color w:val="52616C"/>
          <w:sz w:val="17"/>
        </w:rPr>
        <w:t xml:space="preserve">여성 인사관리·복무 여건 관련 정책을 확인한다. 계획에 제시된 목표는 실적과 분리한다.  </w:t>
      </w:r>
      <w:hyperlink r:id="rId9">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[2] 국방부 2025년 국방통계연보</w:t>
      </w:r>
    </w:p>
    <w:p>
      <w:pPr>
        <w:spacing w:after="20" w:line="240" w:lineRule="auto"/>
        <w:ind w:left="259"/>
      </w:pPr>
      <w:r>
        <w:rPr>
          <w:rFonts w:ascii="Noto Sans CJK KR" w:hAnsi="Noto Sans CJK KR" w:eastAsia="Noto Sans CJK KR" w:cs="Noto Sans CJK KR"/>
          <w:b w:val="0"/>
          <w:i w:val="0"/>
          <w:color w:val="52616C"/>
          <w:sz w:val="17"/>
        </w:rPr>
        <w:t xml:space="preserve">한국군 인력 현황의 기준 자료. 각 표의 대상·기준일·통계 정의를 확인한다.  </w:t>
      </w:r>
      <w:hyperlink r:id="rId10">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[3] 국가법령정보센터 국방개혁에 관한 법률</w:t>
      </w:r>
    </w:p>
    <w:p>
      <w:pPr>
        <w:spacing w:after="20" w:line="240" w:lineRule="auto"/>
        <w:ind w:left="259"/>
      </w:pPr>
      <w:r>
        <w:rPr>
          <w:rFonts w:ascii="Noto Sans CJK KR" w:hAnsi="Noto Sans CJK KR" w:eastAsia="Noto Sans CJK KR" w:cs="Noto Sans CJK KR"/>
          <w:b w:val="0"/>
          <w:i w:val="0"/>
          <w:color w:val="52616C"/>
          <w:sz w:val="17"/>
        </w:rPr>
        <w:t xml:space="preserve">관련 조항의 현행 문구와 시행일을 분석 시점에 다시 확인한다.  </w:t>
      </w:r>
      <w:hyperlink r:id="rId11">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[4] 캐나다 국방부 Statistics of women in the CAF</w:t>
      </w:r>
    </w:p>
    <w:p>
      <w:pPr>
        <w:spacing w:after="20" w:line="240" w:lineRule="auto"/>
        <w:ind w:left="259"/>
      </w:pPr>
      <w:r>
        <w:rPr>
          <w:rFonts w:ascii="Noto Sans CJK KR" w:hAnsi="Noto Sans CJK KR" w:eastAsia="Noto Sans CJK KR" w:cs="Noto Sans CJK KR"/>
          <w:b w:val="0"/>
          <w:i w:val="0"/>
          <w:color w:val="52616C"/>
          <w:sz w:val="17"/>
        </w:rPr>
        <w:t xml:space="preserve">여성 인력 통계에서 정규군·예비군, 장교·부사관, 군종 구분을 살핀다.  </w:t>
      </w:r>
      <w:hyperlink r:id="rId12">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[5] 캐나다 국방부 Departmental Plan 2025–26</w:t>
      </w:r>
    </w:p>
    <w:p>
      <w:pPr>
        <w:spacing w:after="20" w:line="240" w:lineRule="auto"/>
        <w:ind w:left="259"/>
      </w:pPr>
      <w:r>
        <w:rPr>
          <w:rFonts w:ascii="Noto Sans CJK KR" w:hAnsi="Noto Sans CJK KR" w:eastAsia="Noto Sans CJK KR" w:cs="Noto Sans CJK KR"/>
          <w:b w:val="0"/>
          <w:i w:val="0"/>
          <w:color w:val="52616C"/>
          <w:sz w:val="17"/>
        </w:rPr>
        <w:t xml:space="preserve">모집전략·직무분석·진급 기준의 성별 영향 검토 및 관련 정책계획을 확인한다.  </w:t>
      </w:r>
      <w:hyperlink r:id="rId13">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[6] 영국 국방부 UK Armed Forces Biannual Diversity Statistics April 2026</w:t>
      </w:r>
    </w:p>
    <w:p>
      <w:pPr>
        <w:spacing w:after="20" w:line="240" w:lineRule="auto"/>
        <w:ind w:left="259"/>
      </w:pPr>
      <w:r>
        <w:rPr>
          <w:rFonts w:ascii="Noto Sans CJK KR" w:hAnsi="Noto Sans CJK KR" w:eastAsia="Noto Sans CJK KR" w:cs="Noto Sans CJK KR"/>
          <w:b w:val="0"/>
          <w:i w:val="0"/>
          <w:color w:val="52616C"/>
          <w:sz w:val="17"/>
        </w:rPr>
        <w:t xml:space="preserve">군종·계급별 구성과 여성 입대·이탈 지표 및 통계 기준을 확인한다.  </w:t>
      </w:r>
      <w:hyperlink r:id="rId14">
        <w:r>
          <w:rPr>
            <w:color w:val="315C78"/>
            <w:u w:val="single"/>
            <w:sz w:val="17"/>
            <w:rFonts w:eastAsia="Noto Sans CJK KR" w:ascii="Noto Sans CJK KR"/>
          </w:rPr>
          <w:t>공식 자료 열기</w:t>
        </w:r>
      </w:hyperlink>
    </w:p>
    <w:p>
      <w:pPr>
        <w:keepNext/>
        <w:spacing w:before="20" w:after="0"/>
      </w:pPr>
      <w:r>
        <w:rPr>
          <w:rFonts w:ascii="Noto Sans CJK KR" w:hAnsi="Noto Sans CJK KR" w:eastAsia="Noto Sans CJK KR" w:cs="Noto Sans CJK KR"/>
          <w:b/>
          <w:i w:val="0"/>
          <w:color w:val="17212A"/>
          <w:sz w:val="18"/>
        </w:rPr>
        <w:t>[7] 호주 국방부 Women in the ADF 2024–25 보고서 목록</w:t>
      </w:r>
    </w:p>
    <w:p>
      <w:pPr>
        <w:spacing w:after="20" w:line="240" w:lineRule="auto"/>
        <w:ind w:left="259"/>
      </w:pPr>
      <w:r>
        <w:rPr>
          <w:rFonts w:ascii="Noto Sans CJK KR" w:hAnsi="Noto Sans CJK KR" w:eastAsia="Noto Sans CJK KR" w:cs="Noto Sans CJK KR"/>
          <w:b w:val="0"/>
          <w:i w:val="0"/>
          <w:color w:val="52616C"/>
          <w:sz w:val="17"/>
        </w:rPr>
        <w:t xml:space="preserve">여성군 연례보고서와 보충 통계표, 이전 연도 지표의 연속성을 확인한다.  </w:t>
      </w:r>
      <w:hyperlink r:id="rId15">
        <w:r>
          <w:rPr>
            <w:color w:val="315C78"/>
            <w:u w:val="single"/>
            <w:sz w:val="17"/>
            <w:rFonts w:eastAsia="Noto Sans CJK KR" w:ascii="Noto Sans CJK KR"/>
          </w:rPr>
          <w:t>공식 자료 열기</w:t>
        </w:r>
      </w:hyperlink>
    </w:p>
    <w:p>
      <w:pPr>
        <w:spacing w:after="0" w:line="269" w:lineRule="auto"/>
      </w:pPr>
      <w:r>
        <w:rPr>
          <w:rFonts w:ascii="Noto Sans CJK KR" w:hAnsi="Noto Sans CJK KR" w:eastAsia="Noto Sans CJK KR" w:cs="Noto Sans CJK KR"/>
          <w:b w:val="0"/>
          <w:i w:val="0"/>
          <w:color w:val="52616C"/>
          <w:sz w:val="16"/>
        </w:rPr>
        <w:t>계획서 작성 기준일은 2026년 9월 30일이다. 실제 분석 시 최신판, 통계 기준일, 시행일과 부록 표를 다시 확인한다.</w:t>
      </w:r>
    </w:p>
    <w:sectPr w:rsidR="00FC693F" w:rsidRPr="0006063C" w:rsidSect="00034616">
      <w:footerReference w:type="default" r:id="rId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KR" w:hAnsi="Noto Sans CJK KR" w:eastAsia="Noto Sans CJK KR" w:cs="Noto Sans CJK KR"/>
        <w:b w:val="0"/>
        <w:i w:val="0"/>
        <w:color w:val="52616C"/>
        <w:sz w:val="16"/>
      </w:rPr>
      <w:t>FDPS LAB  ·  여성 군 인력 정책 비교 연구  ·  v1.1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CJK KR" w:hAnsi="Noto Sans CJK KR" w:eastAsia="Noto Sans CJK KR"/>
      <w:color w:val="1721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Noto Sans CJK KR" w:hAnsi="Noto Sans CJK KR" w:eastAsia="Noto Sans CJK KR"/>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Noto Sans CJK KR" w:hAnsi="Noto Sans CJK KR" w:eastAsia="Noto Sans CJK KR"/>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Noto Sans CJK KR" w:hAnsi="Noto Sans CJK KR" w:eastAsia="Noto Sans CJK KR"/>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nd.go.kr/bbs/mnd/12201224/I_12206390/download.do" TargetMode="External"/><Relationship Id="rId10" Type="http://schemas.openxmlformats.org/officeDocument/2006/relationships/hyperlink" Target="https://www.mnd.go.kr/bbsgroup/mnd/2/I_12881794/artclView.do" TargetMode="External"/><Relationship Id="rId11" Type="http://schemas.openxmlformats.org/officeDocument/2006/relationships/hyperlink" Target="https://www.law.go.kr/LSW/lsInfoP.do?lsiSeq=286089" TargetMode="External"/><Relationship Id="rId12" Type="http://schemas.openxmlformats.org/officeDocument/2006/relationships/hyperlink" Target="https://www.canada.ca/en/department-national-defence/services/women-in-the-forces/statistics.html" TargetMode="External"/><Relationship Id="rId13" Type="http://schemas.openxmlformats.org/officeDocument/2006/relationships/hyperlink" Target="https://www.canada.ca/en/department-national-defence/corporate/reports-publications/departmental-plans/departmental-plan-2025-26.html" TargetMode="External"/><Relationship Id="rId14" Type="http://schemas.openxmlformats.org/officeDocument/2006/relationships/hyperlink" Target="https://www.gov.uk/government/statistics/uk-armed-forces-biannual-diversity-statistics-april-2026/uk-armed-forces-biannual-diversity-statistics-april-2026" TargetMode="External"/><Relationship Id="rId15" Type="http://schemas.openxmlformats.org/officeDocument/2006/relationships/hyperlink" Target="https://www.defence.gov.au/about/accessing-information/annual-reports"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여성 군 인력의 직무 진입과 경력개발 정책 비교</dc:title>
  <dc:subject>한국·캐나다·영국·호주 국방인력정책 연구계획서</dc:subject>
  <dc:creator>FDPS LAB</dc:creator>
  <cp:keywords>국방인력정책, 여성 군 인력, 직무 진입, 경력개발, 비교연구</cp:keywords>
  <dc:description>generated by python-docx</dc:description>
  <cp:lastModifiedBy/>
  <cp:revision>1</cp:revision>
  <dcterms:created xsi:type="dcterms:W3CDTF">2013-12-23T23:15:00Z</dcterms:created>
  <dcterms:modified xsi:type="dcterms:W3CDTF">2013-12-23T23:15:00Z</dcterms:modified>
  <cp:category/>
</cp:coreProperties>
</file>